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2A78" w14:textId="632DF67D" w:rsidR="00F10132" w:rsidRDefault="00476539">
      <w:pPr>
        <w:rPr>
          <w:color w:val="156082" w:themeColor="accent1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83C37" wp14:editId="60C1EF7B">
            <wp:simplePos x="0" y="0"/>
            <wp:positionH relativeFrom="column">
              <wp:posOffset>3954751</wp:posOffset>
            </wp:positionH>
            <wp:positionV relativeFrom="paragraph">
              <wp:posOffset>-574158</wp:posOffset>
            </wp:positionV>
            <wp:extent cx="2312670" cy="1212850"/>
            <wp:effectExtent l="0" t="0" r="0" b="6350"/>
            <wp:wrapNone/>
            <wp:docPr id="1645237813" name="Picture 164523781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37813" name="Picture 1645237813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27410" w14:textId="7FB820BA" w:rsidR="00476539" w:rsidRDefault="00476539">
      <w:pPr>
        <w:rPr>
          <w:color w:val="156082" w:themeColor="accent1"/>
          <w:sz w:val="96"/>
          <w:szCs w:val="96"/>
        </w:rPr>
      </w:pPr>
    </w:p>
    <w:p w14:paraId="247F9060" w14:textId="77777777" w:rsidR="00F10132" w:rsidRDefault="00F10132">
      <w:pPr>
        <w:rPr>
          <w:color w:val="156082" w:themeColor="accent1"/>
          <w:sz w:val="36"/>
          <w:szCs w:val="36"/>
        </w:rPr>
      </w:pPr>
    </w:p>
    <w:p w14:paraId="06315D40" w14:textId="77777777" w:rsidR="00476539" w:rsidRDefault="00476539">
      <w:pPr>
        <w:rPr>
          <w:color w:val="156082" w:themeColor="accent1"/>
          <w:sz w:val="36"/>
          <w:szCs w:val="36"/>
        </w:rPr>
      </w:pPr>
    </w:p>
    <w:p w14:paraId="7371CF30" w14:textId="77777777" w:rsidR="00476539" w:rsidRPr="00476539" w:rsidRDefault="00476539">
      <w:pPr>
        <w:rPr>
          <w:color w:val="156082" w:themeColor="accent1"/>
          <w:sz w:val="36"/>
          <w:szCs w:val="36"/>
        </w:rPr>
      </w:pPr>
    </w:p>
    <w:p w14:paraId="428B1C1F" w14:textId="54177F68" w:rsidR="00A01BE6" w:rsidRPr="0043199D" w:rsidRDefault="00F10132">
      <w:pPr>
        <w:rPr>
          <w:rFonts w:ascii="Arial" w:hAnsi="Arial" w:cs="Arial"/>
          <w:b/>
          <w:bCs/>
          <w:color w:val="156082" w:themeColor="accent1"/>
          <w:sz w:val="96"/>
          <w:szCs w:val="96"/>
        </w:rPr>
      </w:pPr>
      <w:r w:rsidRPr="0043199D">
        <w:rPr>
          <w:rFonts w:ascii="Arial" w:hAnsi="Arial" w:cs="Arial"/>
          <w:b/>
          <w:bCs/>
          <w:color w:val="156082" w:themeColor="accent1"/>
          <w:sz w:val="96"/>
          <w:szCs w:val="96"/>
        </w:rPr>
        <w:t>Hammersmith &amp; Fulham Early Years Funding Audit</w:t>
      </w:r>
    </w:p>
    <w:p w14:paraId="19D15298" w14:textId="3363D982" w:rsidR="00F10132" w:rsidRPr="0043199D" w:rsidRDefault="00F10132">
      <w:pPr>
        <w:rPr>
          <w:rFonts w:ascii="Arial" w:hAnsi="Arial" w:cs="Arial"/>
          <w:color w:val="156082" w:themeColor="accent1"/>
          <w:sz w:val="40"/>
          <w:szCs w:val="40"/>
        </w:rPr>
      </w:pPr>
    </w:p>
    <w:p w14:paraId="0231454A" w14:textId="77777777" w:rsidR="00F10132" w:rsidRDefault="00F10132">
      <w:pPr>
        <w:rPr>
          <w:color w:val="156082" w:themeColor="accent1"/>
          <w:sz w:val="56"/>
          <w:szCs w:val="56"/>
        </w:rPr>
      </w:pPr>
    </w:p>
    <w:p w14:paraId="0D6F74B4" w14:textId="77777777" w:rsidR="00F10132" w:rsidRDefault="00F10132">
      <w:pPr>
        <w:rPr>
          <w:color w:val="156082" w:themeColor="accent1"/>
          <w:sz w:val="56"/>
          <w:szCs w:val="56"/>
        </w:rPr>
      </w:pPr>
    </w:p>
    <w:p w14:paraId="0CC93979" w14:textId="77777777" w:rsidR="002A7FEF" w:rsidRDefault="002A7FEF">
      <w:pPr>
        <w:rPr>
          <w:color w:val="156082" w:themeColor="accent1"/>
          <w:sz w:val="56"/>
          <w:szCs w:val="56"/>
        </w:rPr>
      </w:pPr>
    </w:p>
    <w:p w14:paraId="2ADBE0A9" w14:textId="77777777" w:rsidR="002A7FEF" w:rsidRDefault="002A7FEF">
      <w:pPr>
        <w:rPr>
          <w:color w:val="156082" w:themeColor="accent1"/>
          <w:sz w:val="56"/>
          <w:szCs w:val="56"/>
        </w:rPr>
      </w:pPr>
    </w:p>
    <w:p w14:paraId="050BB968" w14:textId="77777777" w:rsidR="0043199D" w:rsidRPr="0043199D" w:rsidRDefault="0043199D" w:rsidP="0043199D">
      <w:pPr>
        <w:spacing w:line="276" w:lineRule="auto"/>
        <w:rPr>
          <w:color w:val="156082" w:themeColor="accent1"/>
        </w:rPr>
      </w:pPr>
    </w:p>
    <w:p w14:paraId="02F6AEF4" w14:textId="4D721546" w:rsidR="00AA7CC2" w:rsidRPr="0043199D" w:rsidRDefault="00AA7CC2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lastRenderedPageBreak/>
        <w:t>Purpose</w:t>
      </w:r>
    </w:p>
    <w:p w14:paraId="5A37F513" w14:textId="77777777" w:rsidR="00AA7CC2" w:rsidRPr="0043199D" w:rsidRDefault="00AA7CC2" w:rsidP="00AA7CC2">
      <w:pPr>
        <w:spacing w:line="276" w:lineRule="auto"/>
        <w:ind w:left="360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This policy sets out the audit and compliance framework for all providers delivering early years entitlements in Hammersmith and Fulham.</w:t>
      </w:r>
    </w:p>
    <w:p w14:paraId="4F19723F" w14:textId="589B149E" w:rsidR="00AA7CC2" w:rsidRPr="0043199D" w:rsidRDefault="00AA7CC2" w:rsidP="00AA7CC2">
      <w:pPr>
        <w:spacing w:line="276" w:lineRule="auto"/>
        <w:ind w:left="360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It outlines the responsibilities of early years providers in maintaining compliance with funding regulations and the procedures the Early Years Funding Team will follow to verify appropriate use of public funds.</w:t>
      </w:r>
    </w:p>
    <w:p w14:paraId="18DCD507" w14:textId="377AEA85" w:rsidR="00AA7CC2" w:rsidRPr="0043199D" w:rsidRDefault="00AA7CC2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t>Scope</w:t>
      </w:r>
    </w:p>
    <w:p w14:paraId="3E05F14D" w14:textId="1FD0E087" w:rsidR="00AA7CC2" w:rsidRPr="0043199D" w:rsidRDefault="00AA7CC2" w:rsidP="00AA7CC2">
      <w:pPr>
        <w:spacing w:line="276" w:lineRule="auto"/>
        <w:ind w:left="360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 xml:space="preserve">This policy applies to all early </w:t>
      </w:r>
      <w:r w:rsidR="001D38B4" w:rsidRPr="0043199D">
        <w:rPr>
          <w:rFonts w:ascii="Arial" w:eastAsia="Calibri" w:hAnsi="Arial" w:cs="Arial"/>
          <w:bCs/>
        </w:rPr>
        <w:t>year’s</w:t>
      </w:r>
      <w:r w:rsidRPr="0043199D">
        <w:rPr>
          <w:rFonts w:ascii="Arial" w:eastAsia="Calibri" w:hAnsi="Arial" w:cs="Arial"/>
          <w:bCs/>
        </w:rPr>
        <w:t xml:space="preserve"> providers who claim funding through any of the following:</w:t>
      </w:r>
    </w:p>
    <w:p w14:paraId="58881E4F" w14:textId="16F145A8" w:rsidR="00AA7CC2" w:rsidRPr="0043199D" w:rsidRDefault="00AA7CC2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Working family entitlement for children aged 9 – 23 months (30 hours)</w:t>
      </w:r>
    </w:p>
    <w:p w14:paraId="34D94188" w14:textId="2CC1A081" w:rsidR="00AA7CC2" w:rsidRPr="0043199D" w:rsidRDefault="001D38B4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Supported family’s entitlement for children aged 2 years old (15 hours)</w:t>
      </w:r>
    </w:p>
    <w:p w14:paraId="28C9FBB2" w14:textId="5AD663AC" w:rsidR="001D38B4" w:rsidRPr="0043199D" w:rsidRDefault="001D38B4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Working family entitlement for children aged 2 years old (30 hours)</w:t>
      </w:r>
    </w:p>
    <w:p w14:paraId="6E4682FD" w14:textId="5F009F6E" w:rsidR="00AA7CC2" w:rsidRPr="0043199D" w:rsidRDefault="00AA7CC2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Universal entitlement for children aged 3- and 4-year-olds (15 hours)</w:t>
      </w:r>
    </w:p>
    <w:p w14:paraId="7B3C596C" w14:textId="4CD887BA" w:rsidR="00AA7CC2" w:rsidRPr="0043199D" w:rsidRDefault="00AA7CC2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Extended entitlement for children aged 3- and 4-year-olds (30 hours)</w:t>
      </w:r>
    </w:p>
    <w:p w14:paraId="2570F06C" w14:textId="3363CA04" w:rsidR="001D38B4" w:rsidRPr="0043199D" w:rsidRDefault="001D38B4" w:rsidP="001D38B4">
      <w:pPr>
        <w:pStyle w:val="ListParagraph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Any other locally or nationally funded early education schemes</w:t>
      </w:r>
      <w:r w:rsidRPr="0043199D">
        <w:rPr>
          <w:rFonts w:ascii="Arial" w:eastAsia="Calibri" w:hAnsi="Arial" w:cs="Arial"/>
          <w:bCs/>
        </w:rPr>
        <w:br/>
      </w:r>
    </w:p>
    <w:p w14:paraId="013DCC2A" w14:textId="12BBB3E3" w:rsidR="001D38B4" w:rsidRPr="0043199D" w:rsidRDefault="001D38B4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t>Policy Statement</w:t>
      </w:r>
    </w:p>
    <w:p w14:paraId="481A3254" w14:textId="77777777" w:rsidR="0043199D" w:rsidRDefault="001D38B4" w:rsidP="0043199D">
      <w:pPr>
        <w:pStyle w:val="ListParagraph"/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 xml:space="preserve">To ensure funding is used appropriately and equitably, the Early Years Funding Team will carry out audits of all providers delivering early years entitlements. Audits are a standard part of our financial oversight process which </w:t>
      </w:r>
      <w:r w:rsidR="00F10132" w:rsidRPr="0043199D">
        <w:rPr>
          <w:rFonts w:ascii="Arial" w:eastAsia="Calibri" w:hAnsi="Arial" w:cs="Arial"/>
          <w:bCs/>
        </w:rPr>
        <w:t>ensure</w:t>
      </w:r>
      <w:r w:rsidRPr="0043199D">
        <w:rPr>
          <w:rFonts w:ascii="Arial" w:eastAsia="Calibri" w:hAnsi="Arial" w:cs="Arial"/>
          <w:bCs/>
        </w:rPr>
        <w:t>s</w:t>
      </w:r>
      <w:r w:rsidR="00F10132" w:rsidRPr="0043199D">
        <w:rPr>
          <w:rFonts w:ascii="Arial" w:eastAsia="Calibri" w:hAnsi="Arial" w:cs="Arial"/>
          <w:bCs/>
        </w:rPr>
        <w:t xml:space="preserve"> compliance with funding guidelines and supports the continued delivery of high-quality early education.</w:t>
      </w:r>
    </w:p>
    <w:p w14:paraId="791D81A1" w14:textId="77777777" w:rsidR="0043199D" w:rsidRDefault="0043199D" w:rsidP="0043199D">
      <w:pPr>
        <w:pStyle w:val="ListParagraph"/>
        <w:spacing w:line="276" w:lineRule="auto"/>
        <w:rPr>
          <w:rFonts w:ascii="Arial" w:eastAsia="Calibri" w:hAnsi="Arial" w:cs="Arial"/>
          <w:bCs/>
        </w:rPr>
      </w:pPr>
    </w:p>
    <w:p w14:paraId="15F42D48" w14:textId="303034FA" w:rsidR="0043199D" w:rsidRPr="00476539" w:rsidRDefault="001D38B4" w:rsidP="00476539">
      <w:pPr>
        <w:pStyle w:val="ListParagraph"/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Early Years Funding</w:t>
      </w:r>
      <w:r w:rsidR="00F10132" w:rsidRPr="0043199D">
        <w:rPr>
          <w:rFonts w:ascii="Arial" w:eastAsia="Calibri" w:hAnsi="Arial" w:cs="Arial"/>
          <w:bCs/>
        </w:rPr>
        <w:t xml:space="preserve"> audits are designed to:</w:t>
      </w:r>
    </w:p>
    <w:p w14:paraId="17C864B1" w14:textId="4C632DFB" w:rsidR="00F10132" w:rsidRPr="0043199D" w:rsidRDefault="00F10132" w:rsidP="00AA7CC2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Verify that funding is being claimed appropriately in line with national and local guidance.</w:t>
      </w:r>
    </w:p>
    <w:p w14:paraId="4043BAEB" w14:textId="51792EF5" w:rsidR="00F10132" w:rsidRPr="0043199D" w:rsidRDefault="00F10132" w:rsidP="00AA7CC2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Ensure providers are meeting their statutory duties related to the delivery of early years entitlements.</w:t>
      </w:r>
    </w:p>
    <w:p w14:paraId="10FD7C4E" w14:textId="3DD7B59B" w:rsidR="00F10132" w:rsidRPr="0043199D" w:rsidRDefault="00F10132" w:rsidP="00F10132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Support transparency, accountability and the consistent application of funding criteria across all settings.</w:t>
      </w:r>
    </w:p>
    <w:p w14:paraId="1271830C" w14:textId="7BDE5271" w:rsidR="00F10132" w:rsidRPr="0043199D" w:rsidRDefault="00122824" w:rsidP="00F10132">
      <w:p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Full cooperation with the audit process is a condition of receiving early years funding as per our provider agreement, however</w:t>
      </w:r>
      <w:r w:rsidR="001D38B4" w:rsidRPr="0043199D">
        <w:rPr>
          <w:rFonts w:ascii="Arial" w:eastAsia="Calibri" w:hAnsi="Arial" w:cs="Arial"/>
          <w:bCs/>
        </w:rPr>
        <w:t xml:space="preserve"> </w:t>
      </w:r>
      <w:r w:rsidRPr="0043199D">
        <w:rPr>
          <w:rFonts w:ascii="Arial" w:eastAsia="Calibri" w:hAnsi="Arial" w:cs="Arial"/>
          <w:bCs/>
        </w:rPr>
        <w:t xml:space="preserve">the Early Years Funding Team </w:t>
      </w:r>
      <w:r w:rsidR="00F10132" w:rsidRPr="0043199D">
        <w:rPr>
          <w:rFonts w:ascii="Arial" w:eastAsia="Calibri" w:hAnsi="Arial" w:cs="Arial"/>
          <w:bCs/>
        </w:rPr>
        <w:t xml:space="preserve">will </w:t>
      </w:r>
      <w:r w:rsidRPr="0043199D">
        <w:rPr>
          <w:rFonts w:ascii="Arial" w:eastAsia="Calibri" w:hAnsi="Arial" w:cs="Arial"/>
          <w:bCs/>
        </w:rPr>
        <w:t xml:space="preserve">notify providers </w:t>
      </w:r>
      <w:r w:rsidR="00F10132" w:rsidRPr="0043199D">
        <w:rPr>
          <w:rFonts w:ascii="Arial" w:eastAsia="Calibri" w:hAnsi="Arial" w:cs="Arial"/>
          <w:bCs/>
        </w:rPr>
        <w:t xml:space="preserve">in advance of any planned </w:t>
      </w:r>
      <w:r w:rsidR="001D38B4" w:rsidRPr="0043199D">
        <w:rPr>
          <w:rFonts w:ascii="Arial" w:eastAsia="Calibri" w:hAnsi="Arial" w:cs="Arial"/>
          <w:bCs/>
        </w:rPr>
        <w:t xml:space="preserve">funding </w:t>
      </w:r>
      <w:r w:rsidR="00F10132" w:rsidRPr="0043199D">
        <w:rPr>
          <w:rFonts w:ascii="Arial" w:eastAsia="Calibri" w:hAnsi="Arial" w:cs="Arial"/>
          <w:bCs/>
        </w:rPr>
        <w:t>audit</w:t>
      </w:r>
      <w:r w:rsidRPr="0043199D">
        <w:rPr>
          <w:rFonts w:ascii="Arial" w:eastAsia="Calibri" w:hAnsi="Arial" w:cs="Arial"/>
          <w:bCs/>
        </w:rPr>
        <w:t>.</w:t>
      </w:r>
    </w:p>
    <w:p w14:paraId="6B5F7D77" w14:textId="67CFC953" w:rsidR="00122824" w:rsidRPr="0043199D" w:rsidRDefault="00122824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t>Responsibilities of Providers</w:t>
      </w:r>
    </w:p>
    <w:p w14:paraId="1609E934" w14:textId="5294AE7D" w:rsidR="00122824" w:rsidRPr="0043199D" w:rsidRDefault="00122824" w:rsidP="00122824">
      <w:pPr>
        <w:spacing w:line="276" w:lineRule="auto"/>
        <w:ind w:left="360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All providers claiming early years entitlement funding must:</w:t>
      </w:r>
    </w:p>
    <w:p w14:paraId="138120AF" w14:textId="61415698" w:rsidR="00122824" w:rsidRPr="0043199D" w:rsidRDefault="00122824" w:rsidP="00122824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Ensure accurate and timely submissions of headcount and funding data</w:t>
      </w:r>
    </w:p>
    <w:p w14:paraId="040D0FFD" w14:textId="5E2A3615" w:rsidR="00122824" w:rsidRPr="0043199D" w:rsidRDefault="00122824" w:rsidP="00122824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Maintain full and accurate attendance records, parental declarations and eligibility codes</w:t>
      </w:r>
    </w:p>
    <w:p w14:paraId="33912D58" w14:textId="717F03BF" w:rsidR="00122824" w:rsidRPr="0043199D" w:rsidRDefault="00122824" w:rsidP="00122824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lastRenderedPageBreak/>
        <w:t>Retain documentation for at least</w:t>
      </w:r>
      <w:r w:rsidR="00476539">
        <w:rPr>
          <w:rFonts w:ascii="Arial" w:eastAsia="Calibri" w:hAnsi="Arial" w:cs="Arial"/>
          <w:bCs/>
        </w:rPr>
        <w:t xml:space="preserve"> 3 years</w:t>
      </w:r>
      <w:r w:rsidRPr="0043199D">
        <w:rPr>
          <w:rFonts w:ascii="Arial" w:eastAsia="Calibri" w:hAnsi="Arial" w:cs="Arial"/>
          <w:bCs/>
        </w:rPr>
        <w:t xml:space="preserve"> in accordance with funding guidance</w:t>
      </w:r>
    </w:p>
    <w:p w14:paraId="40EC9B9C" w14:textId="504E7C58" w:rsidR="00122824" w:rsidRPr="0043199D" w:rsidRDefault="00122824" w:rsidP="00122824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Cooperate fully with any audit or investigation, including providing requested evidence to relevant staff</w:t>
      </w:r>
    </w:p>
    <w:p w14:paraId="55D76436" w14:textId="4E6F8025" w:rsidR="00122824" w:rsidRPr="0043199D" w:rsidRDefault="00122824" w:rsidP="00122824">
      <w:pPr>
        <w:pStyle w:val="ListParagraph"/>
        <w:numPr>
          <w:ilvl w:val="0"/>
          <w:numId w:val="4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Implement any recommendations or required actions resulting from audit findings within a reasonable timeframe</w:t>
      </w:r>
    </w:p>
    <w:p w14:paraId="14651A99" w14:textId="568D2550" w:rsidR="00122824" w:rsidRPr="0043199D" w:rsidRDefault="00122824" w:rsidP="00122824">
      <w:pPr>
        <w:spacing w:line="276" w:lineRule="auto"/>
        <w:ind w:left="360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Failure to meet these responsibilities may result in:</w:t>
      </w:r>
    </w:p>
    <w:p w14:paraId="69CE1B8D" w14:textId="050B4FA0" w:rsidR="00122824" w:rsidRPr="0043199D" w:rsidRDefault="00122824" w:rsidP="00122824">
      <w:pPr>
        <w:pStyle w:val="ListParagraph"/>
        <w:numPr>
          <w:ilvl w:val="0"/>
          <w:numId w:val="5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Repayment of early years funding</w:t>
      </w:r>
    </w:p>
    <w:p w14:paraId="6C360F7A" w14:textId="286FF018" w:rsidR="00122824" w:rsidRPr="0043199D" w:rsidRDefault="00122824" w:rsidP="00122824">
      <w:pPr>
        <w:pStyle w:val="ListParagraph"/>
        <w:numPr>
          <w:ilvl w:val="0"/>
          <w:numId w:val="5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Suspension or withdrawal from the funding schemes</w:t>
      </w:r>
    </w:p>
    <w:p w14:paraId="639B8081" w14:textId="725013D6" w:rsidR="00122824" w:rsidRPr="0043199D" w:rsidRDefault="00122824" w:rsidP="00122824">
      <w:pPr>
        <w:pStyle w:val="ListParagraph"/>
        <w:numPr>
          <w:ilvl w:val="0"/>
          <w:numId w:val="5"/>
        </w:numPr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>Referral to other regulatory bodies if appropriate</w:t>
      </w:r>
      <w:r w:rsidRPr="0043199D">
        <w:rPr>
          <w:rFonts w:ascii="Arial" w:eastAsia="Calibri" w:hAnsi="Arial" w:cs="Arial"/>
          <w:bCs/>
        </w:rPr>
        <w:br/>
      </w:r>
    </w:p>
    <w:p w14:paraId="0F95B817" w14:textId="77777777" w:rsidR="0043199D" w:rsidRPr="0043199D" w:rsidRDefault="00122824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t>Audit Proces</w:t>
      </w:r>
      <w:r w:rsidR="0043199D" w:rsidRPr="0043199D">
        <w:rPr>
          <w:rFonts w:ascii="Arial" w:eastAsia="Calibri" w:hAnsi="Arial" w:cs="Arial"/>
          <w:b/>
          <w:color w:val="156082" w:themeColor="accent1"/>
        </w:rPr>
        <w:t>s</w:t>
      </w:r>
    </w:p>
    <w:p w14:paraId="1C9740A5" w14:textId="6464096F" w:rsidR="00476539" w:rsidRPr="00476539" w:rsidRDefault="0043199D" w:rsidP="00476539">
      <w:pPr>
        <w:pStyle w:val="ListParagraph"/>
        <w:spacing w:line="276" w:lineRule="auto"/>
        <w:rPr>
          <w:rFonts w:ascii="Arial" w:eastAsia="Calibri" w:hAnsi="Arial" w:cs="Arial"/>
          <w:bCs/>
        </w:rPr>
      </w:pPr>
      <w:r w:rsidRPr="0043199D">
        <w:rPr>
          <w:rFonts w:ascii="Arial" w:eastAsia="Calibri" w:hAnsi="Arial" w:cs="Arial"/>
          <w:bCs/>
        </w:rPr>
        <w:t xml:space="preserve">Providers may be selected for audit at any time, either through a routine cycle or </w:t>
      </w:r>
      <w:proofErr w:type="gramStart"/>
      <w:r w:rsidRPr="0043199D">
        <w:rPr>
          <w:rFonts w:ascii="Arial" w:eastAsia="Calibri" w:hAnsi="Arial" w:cs="Arial"/>
          <w:bCs/>
        </w:rPr>
        <w:t>as a result of</w:t>
      </w:r>
      <w:proofErr w:type="gramEnd"/>
      <w:r w:rsidRPr="0043199D">
        <w:rPr>
          <w:rFonts w:ascii="Arial" w:eastAsia="Calibri" w:hAnsi="Arial" w:cs="Arial"/>
          <w:bCs/>
        </w:rPr>
        <w:t xml:space="preserve"> specific concerns or anomalies identified in funding claims or records.</w:t>
      </w:r>
      <w:r w:rsidR="00476539">
        <w:rPr>
          <w:rFonts w:ascii="Arial" w:eastAsia="Calibri" w:hAnsi="Arial" w:cs="Arial"/>
          <w:bCs/>
        </w:rPr>
        <w:t xml:space="preserve"> </w:t>
      </w:r>
      <w:r w:rsidRPr="00476539">
        <w:rPr>
          <w:rFonts w:ascii="Arial" w:eastAsia="Calibri" w:hAnsi="Arial" w:cs="Arial"/>
          <w:bCs/>
        </w:rPr>
        <w:t>Audit activities may include:</w:t>
      </w:r>
    </w:p>
    <w:p w14:paraId="6CB18D57" w14:textId="0AAEDDD1" w:rsidR="0043199D" w:rsidRPr="0043199D" w:rsidRDefault="0043199D" w:rsidP="0043199D">
      <w:pPr>
        <w:pStyle w:val="ListParagraph"/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43199D">
        <w:rPr>
          <w:rFonts w:ascii="Arial" w:eastAsia="Calibri" w:hAnsi="Arial" w:cs="Arial"/>
          <w:bCs/>
          <w:color w:val="000000" w:themeColor="text1"/>
        </w:rPr>
        <w:t>Examination of registers and attendance data</w:t>
      </w:r>
    </w:p>
    <w:p w14:paraId="60724C6D" w14:textId="35A933D9" w:rsidR="0043199D" w:rsidRPr="0043199D" w:rsidRDefault="0043199D" w:rsidP="0043199D">
      <w:pPr>
        <w:pStyle w:val="ListParagraph"/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43199D">
        <w:rPr>
          <w:rFonts w:ascii="Arial" w:eastAsia="Calibri" w:hAnsi="Arial" w:cs="Arial"/>
          <w:bCs/>
          <w:color w:val="000000" w:themeColor="text1"/>
        </w:rPr>
        <w:t>Review of parental declarations and eligibility checks</w:t>
      </w:r>
    </w:p>
    <w:p w14:paraId="4F32B35F" w14:textId="31F8D2DD" w:rsidR="0043199D" w:rsidRPr="0043199D" w:rsidRDefault="0043199D" w:rsidP="0043199D">
      <w:pPr>
        <w:pStyle w:val="ListParagraph"/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43199D">
        <w:rPr>
          <w:rFonts w:ascii="Arial" w:eastAsia="Calibri" w:hAnsi="Arial" w:cs="Arial"/>
          <w:bCs/>
          <w:color w:val="000000" w:themeColor="text1"/>
        </w:rPr>
        <w:t>Verification of the number of funded hours claimed</w:t>
      </w:r>
    </w:p>
    <w:p w14:paraId="678BFEDE" w14:textId="4A79A5DE" w:rsidR="0043199D" w:rsidRPr="0043199D" w:rsidRDefault="0043199D" w:rsidP="0043199D">
      <w:pPr>
        <w:pStyle w:val="ListParagraph"/>
        <w:numPr>
          <w:ilvl w:val="0"/>
          <w:numId w:val="8"/>
        </w:numPr>
        <w:spacing w:line="276" w:lineRule="auto"/>
        <w:rPr>
          <w:rFonts w:ascii="Arial" w:eastAsia="Calibri" w:hAnsi="Arial" w:cs="Arial"/>
          <w:b/>
          <w:color w:val="000000" w:themeColor="text1"/>
        </w:rPr>
      </w:pPr>
      <w:r w:rsidRPr="0043199D">
        <w:rPr>
          <w:rFonts w:ascii="Arial" w:eastAsia="Calibri" w:hAnsi="Arial" w:cs="Arial"/>
          <w:bCs/>
          <w:color w:val="000000" w:themeColor="text1"/>
        </w:rPr>
        <w:t>On-site visits or remote audits depending on circumstances</w:t>
      </w:r>
    </w:p>
    <w:p w14:paraId="703E7789" w14:textId="6529ADE3" w:rsidR="0043199D" w:rsidRDefault="0043199D" w:rsidP="0043199D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43199D">
        <w:rPr>
          <w:rFonts w:ascii="Arial" w:eastAsia="Calibri" w:hAnsi="Arial" w:cs="Arial"/>
          <w:bCs/>
          <w:color w:val="000000" w:themeColor="text1"/>
        </w:rPr>
        <w:t>Provider</w:t>
      </w:r>
      <w:r>
        <w:rPr>
          <w:rFonts w:ascii="Arial" w:eastAsia="Calibri" w:hAnsi="Arial" w:cs="Arial"/>
          <w:bCs/>
          <w:color w:val="000000" w:themeColor="text1"/>
        </w:rPr>
        <w:t>s will be given reasonable notice of routine audits except in exceptional circumstances (e.g. suspected fraud), unannounced audits may take place.</w:t>
      </w:r>
    </w:p>
    <w:p w14:paraId="3AA6A1E8" w14:textId="328521C3" w:rsidR="0043199D" w:rsidRPr="0043199D" w:rsidRDefault="0043199D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43199D">
        <w:rPr>
          <w:rFonts w:ascii="Arial" w:eastAsia="Calibri" w:hAnsi="Arial" w:cs="Arial"/>
          <w:b/>
          <w:color w:val="156082" w:themeColor="accent1"/>
        </w:rPr>
        <w:t>Outcomes of Audit</w:t>
      </w:r>
    </w:p>
    <w:p w14:paraId="3E8B7E71" w14:textId="70741C7E" w:rsidR="00476539" w:rsidRPr="00476539" w:rsidRDefault="0043199D" w:rsidP="00476539">
      <w:pPr>
        <w:pStyle w:val="ListParagraph"/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Following an audit, providers will receive a written report detailing:</w:t>
      </w:r>
    </w:p>
    <w:p w14:paraId="34F54CDA" w14:textId="7F03608B" w:rsidR="0043199D" w:rsidRDefault="0043199D" w:rsidP="0043199D">
      <w:pPr>
        <w:pStyle w:val="ListParagraph"/>
        <w:numPr>
          <w:ilvl w:val="0"/>
          <w:numId w:val="9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Findings and if any, areas of non-compliance</w:t>
      </w:r>
    </w:p>
    <w:p w14:paraId="1B2F87ED" w14:textId="2448D10B" w:rsidR="0043199D" w:rsidRDefault="0043199D" w:rsidP="0043199D">
      <w:pPr>
        <w:pStyle w:val="ListParagraph"/>
        <w:numPr>
          <w:ilvl w:val="0"/>
          <w:numId w:val="9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Recommendations for improvement</w:t>
      </w:r>
    </w:p>
    <w:p w14:paraId="44A480D6" w14:textId="476DE63D" w:rsidR="0043199D" w:rsidRDefault="0043199D" w:rsidP="0043199D">
      <w:pPr>
        <w:pStyle w:val="ListParagraph"/>
        <w:numPr>
          <w:ilvl w:val="0"/>
          <w:numId w:val="9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Actions required and timescales for completion</w:t>
      </w:r>
    </w:p>
    <w:p w14:paraId="4747AEFD" w14:textId="04F6C8D9" w:rsidR="002A7FEF" w:rsidRPr="002A7FEF" w:rsidRDefault="0043199D" w:rsidP="002A7FEF">
      <w:pPr>
        <w:pStyle w:val="ListParagraph"/>
        <w:numPr>
          <w:ilvl w:val="0"/>
          <w:numId w:val="9"/>
        </w:num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Any financial adjustments, including recovery of overclaimed funds</w:t>
      </w:r>
    </w:p>
    <w:p w14:paraId="097BF400" w14:textId="0A83D3F3" w:rsidR="002A7FEF" w:rsidRPr="002A7FEF" w:rsidRDefault="002A7FEF" w:rsidP="002A7FEF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Support may be offered where appropriate to help providers achieve compliance.</w:t>
      </w:r>
    </w:p>
    <w:p w14:paraId="71D8F36F" w14:textId="564B5640" w:rsidR="002A7FEF" w:rsidRPr="002A7FEF" w:rsidRDefault="002A7FEF" w:rsidP="002A7FEF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 w:rsidRPr="002A7FEF">
        <w:rPr>
          <w:rFonts w:ascii="Arial" w:eastAsia="Calibri" w:hAnsi="Arial" w:cs="Arial"/>
          <w:b/>
          <w:color w:val="156082" w:themeColor="accent1"/>
        </w:rPr>
        <w:t>Appeals and Disputes</w:t>
      </w:r>
    </w:p>
    <w:p w14:paraId="5336F948" w14:textId="645C2FC0" w:rsidR="002A7FEF" w:rsidRDefault="24DF6F62" w:rsidP="376AB9ED">
      <w:pPr>
        <w:pStyle w:val="ListParagraph"/>
        <w:spacing w:line="276" w:lineRule="auto"/>
        <w:rPr>
          <w:rFonts w:ascii="Arial" w:eastAsia="Calibri" w:hAnsi="Arial" w:cs="Arial"/>
          <w:color w:val="000000" w:themeColor="text1"/>
        </w:rPr>
      </w:pPr>
      <w:r w:rsidRPr="0494471D">
        <w:rPr>
          <w:rFonts w:ascii="Arial" w:eastAsia="Calibri" w:hAnsi="Arial" w:cs="Arial"/>
          <w:color w:val="000000" w:themeColor="text1"/>
        </w:rPr>
        <w:t xml:space="preserve">If a provider disagrees with the outcome of </w:t>
      </w:r>
      <w:r w:rsidR="0E7BCE1D" w:rsidRPr="0494471D">
        <w:rPr>
          <w:rFonts w:ascii="Arial" w:eastAsia="Calibri" w:hAnsi="Arial" w:cs="Arial"/>
          <w:color w:val="000000" w:themeColor="text1"/>
        </w:rPr>
        <w:t xml:space="preserve">the funding </w:t>
      </w:r>
      <w:r w:rsidRPr="0494471D">
        <w:rPr>
          <w:rFonts w:ascii="Arial" w:eastAsia="Calibri" w:hAnsi="Arial" w:cs="Arial"/>
          <w:color w:val="000000" w:themeColor="text1"/>
        </w:rPr>
        <w:t>audit</w:t>
      </w:r>
      <w:r w:rsidR="4CC99E4B" w:rsidRPr="0494471D">
        <w:rPr>
          <w:rFonts w:ascii="Arial" w:eastAsia="Calibri" w:hAnsi="Arial" w:cs="Arial"/>
          <w:color w:val="000000" w:themeColor="text1"/>
        </w:rPr>
        <w:t xml:space="preserve"> and</w:t>
      </w:r>
      <w:r w:rsidR="3C8D3896" w:rsidRPr="0494471D">
        <w:rPr>
          <w:rFonts w:ascii="Arial" w:eastAsia="Calibri" w:hAnsi="Arial" w:cs="Arial"/>
          <w:color w:val="000000" w:themeColor="text1"/>
        </w:rPr>
        <w:t xml:space="preserve"> would like </w:t>
      </w:r>
      <w:r w:rsidR="124473D3" w:rsidRPr="0494471D">
        <w:rPr>
          <w:rFonts w:ascii="Arial" w:eastAsia="Calibri" w:hAnsi="Arial" w:cs="Arial"/>
          <w:color w:val="000000" w:themeColor="text1"/>
        </w:rPr>
        <w:t xml:space="preserve">to </w:t>
      </w:r>
      <w:r w:rsidR="3C8D3896" w:rsidRPr="0494471D">
        <w:rPr>
          <w:rFonts w:ascii="Arial" w:eastAsia="Calibri" w:hAnsi="Arial" w:cs="Arial"/>
          <w:color w:val="000000" w:themeColor="text1"/>
        </w:rPr>
        <w:t>appeal</w:t>
      </w:r>
      <w:r w:rsidR="70FA9588" w:rsidRPr="0494471D">
        <w:rPr>
          <w:rFonts w:ascii="Arial" w:eastAsia="Calibri" w:hAnsi="Arial" w:cs="Arial"/>
          <w:color w:val="000000" w:themeColor="text1"/>
        </w:rPr>
        <w:t>, they may</w:t>
      </w:r>
      <w:r w:rsidR="4E4C92C5" w:rsidRPr="0494471D">
        <w:rPr>
          <w:rFonts w:ascii="Arial" w:eastAsia="Calibri" w:hAnsi="Arial" w:cs="Arial"/>
          <w:color w:val="000000" w:themeColor="text1"/>
        </w:rPr>
        <w:t xml:space="preserve"> may do so by submitting </w:t>
      </w:r>
      <w:r w:rsidR="5E20891D" w:rsidRPr="0494471D">
        <w:rPr>
          <w:rFonts w:ascii="Arial" w:eastAsia="Calibri" w:hAnsi="Arial" w:cs="Arial"/>
          <w:color w:val="000000" w:themeColor="text1"/>
        </w:rPr>
        <w:t xml:space="preserve">an </w:t>
      </w:r>
      <w:r w:rsidR="4E4C92C5" w:rsidRPr="0494471D">
        <w:rPr>
          <w:rFonts w:ascii="Arial" w:eastAsia="Calibri" w:hAnsi="Arial" w:cs="Arial"/>
          <w:color w:val="000000" w:themeColor="text1"/>
        </w:rPr>
        <w:t xml:space="preserve">appeal via email to </w:t>
      </w:r>
      <w:hyperlink r:id="rId11">
        <w:r w:rsidR="4E4C92C5" w:rsidRPr="0494471D">
          <w:rPr>
            <w:rStyle w:val="Hyperlink"/>
            <w:rFonts w:ascii="Arial" w:eastAsia="Calibri" w:hAnsi="Arial" w:cs="Arial"/>
          </w:rPr>
          <w:t>EarlyYearsFunding@lbhf.gov.uk</w:t>
        </w:r>
      </w:hyperlink>
      <w:r w:rsidR="4E4C92C5" w:rsidRPr="0494471D">
        <w:rPr>
          <w:rFonts w:ascii="Arial" w:eastAsia="Calibri" w:hAnsi="Arial" w:cs="Arial"/>
          <w:color w:val="000000" w:themeColor="text1"/>
        </w:rPr>
        <w:t xml:space="preserve"> within 28 days of rec</w:t>
      </w:r>
      <w:commentRangeStart w:id="0"/>
      <w:commentRangeEnd w:id="0"/>
      <w:r w:rsidR="002A7FEF">
        <w:commentReference w:id="0"/>
      </w:r>
      <w:r w:rsidR="4E4C92C5" w:rsidRPr="0494471D">
        <w:rPr>
          <w:rFonts w:ascii="Arial" w:eastAsia="Calibri" w:hAnsi="Arial" w:cs="Arial"/>
          <w:color w:val="000000" w:themeColor="text1"/>
        </w:rPr>
        <w:t>eiving the audit outcome.</w:t>
      </w:r>
    </w:p>
    <w:p w14:paraId="3A1F925C" w14:textId="77777777" w:rsidR="002A7FEF" w:rsidRPr="002A7FEF" w:rsidRDefault="002A7FEF" w:rsidP="002A7FEF">
      <w:pPr>
        <w:pStyle w:val="ListParagraph"/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3533D57C" w14:textId="11201865" w:rsidR="0043199D" w:rsidRPr="002A7FEF" w:rsidRDefault="002A7FEF" w:rsidP="0043199D">
      <w:pPr>
        <w:pStyle w:val="ListParagraph"/>
        <w:numPr>
          <w:ilvl w:val="0"/>
          <w:numId w:val="7"/>
        </w:numPr>
        <w:spacing w:line="276" w:lineRule="auto"/>
        <w:rPr>
          <w:rFonts w:ascii="Arial" w:eastAsia="Calibri" w:hAnsi="Arial" w:cs="Arial"/>
          <w:b/>
          <w:color w:val="156082" w:themeColor="accent1"/>
        </w:rPr>
      </w:pPr>
      <w:r>
        <w:rPr>
          <w:rFonts w:ascii="Arial" w:eastAsia="Calibri" w:hAnsi="Arial" w:cs="Arial"/>
          <w:b/>
          <w:color w:val="156082" w:themeColor="accent1"/>
        </w:rPr>
        <w:t>Review of Policy</w:t>
      </w:r>
    </w:p>
    <w:p w14:paraId="5716B2F4" w14:textId="29D49799" w:rsidR="0074670D" w:rsidRPr="0074670D" w:rsidRDefault="002A7FEF" w:rsidP="0074670D">
      <w:pPr>
        <w:pStyle w:val="ListParagraph"/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This policy will be reviewed annually or in response to any legislative changes or guidance issued by the Department for Education (DfE).</w:t>
      </w:r>
    </w:p>
    <w:sectPr w:rsidR="0074670D" w:rsidRPr="00746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shall Philippa: H&amp;F" w:date="2025-09-11T09:53:00Z" w:initials="MH">
    <w:p w14:paraId="5CEF229E" w14:textId="09D1BB1C" w:rsidR="00190C28" w:rsidRDefault="00190C28">
      <w:r>
        <w:annotationRef/>
      </w:r>
      <w:r>
        <w:fldChar w:fldCharType="begin"/>
      </w:r>
      <w:r>
        <w:instrText xml:space="preserve"> HYPERLINK "mailto:Renee.Daley@lbhf.gov.uk"</w:instrText>
      </w:r>
      <w:bookmarkStart w:id="1" w:name="_@_EA51BA77FBF14B96838F3F18E05D6F10Z"/>
      <w:r>
        <w:fldChar w:fldCharType="separate"/>
      </w:r>
      <w:bookmarkEnd w:id="1"/>
      <w:r w:rsidRPr="13857193">
        <w:rPr>
          <w:noProof/>
        </w:rPr>
        <w:t>@Daley Renee: H&amp;F</w:t>
      </w:r>
      <w:r>
        <w:fldChar w:fldCharType="end"/>
      </w:r>
      <w:r w:rsidRPr="5D0A0D38">
        <w:t xml:space="preserve">  can you make it more clear to how settings can appeal what is the process 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EF22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E2A3DC" w16cex:dateUtc="2025-09-11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EF229E" w16cid:durableId="44E2A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E9B1" w14:textId="77777777" w:rsidR="00F10132" w:rsidRDefault="00F10132" w:rsidP="00F10132">
      <w:pPr>
        <w:spacing w:after="0" w:line="240" w:lineRule="auto"/>
      </w:pPr>
      <w:r>
        <w:separator/>
      </w:r>
    </w:p>
  </w:endnote>
  <w:endnote w:type="continuationSeparator" w:id="0">
    <w:p w14:paraId="6D505A84" w14:textId="77777777" w:rsidR="00F10132" w:rsidRDefault="00F10132" w:rsidP="00F1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29AF" w14:textId="77777777" w:rsidR="00F10132" w:rsidRDefault="00F10132" w:rsidP="00F10132">
      <w:pPr>
        <w:spacing w:after="0" w:line="240" w:lineRule="auto"/>
      </w:pPr>
      <w:r>
        <w:separator/>
      </w:r>
    </w:p>
  </w:footnote>
  <w:footnote w:type="continuationSeparator" w:id="0">
    <w:p w14:paraId="7D4BFB9F" w14:textId="77777777" w:rsidR="00F10132" w:rsidRDefault="00F10132" w:rsidP="00F1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082"/>
    <w:multiLevelType w:val="hybridMultilevel"/>
    <w:tmpl w:val="B5842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8B1"/>
    <w:multiLevelType w:val="hybridMultilevel"/>
    <w:tmpl w:val="957E9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67F57"/>
    <w:multiLevelType w:val="hybridMultilevel"/>
    <w:tmpl w:val="4034876E"/>
    <w:lvl w:ilvl="0" w:tplc="B2421A16">
      <w:start w:val="1"/>
      <w:numFmt w:val="decimal"/>
      <w:lvlText w:val="%1."/>
      <w:lvlJc w:val="left"/>
      <w:pPr>
        <w:ind w:left="820" w:hanging="460"/>
      </w:pPr>
      <w:rPr>
        <w:rFonts w:asciiTheme="minorHAnsi" w:eastAsiaTheme="minorHAnsi" w:hAnsiTheme="minorHAnsi" w:cstheme="minorBidi" w:hint="default"/>
        <w:b w:val="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0772"/>
    <w:multiLevelType w:val="hybridMultilevel"/>
    <w:tmpl w:val="B37C5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9850B7"/>
    <w:multiLevelType w:val="hybridMultilevel"/>
    <w:tmpl w:val="C9788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85F85"/>
    <w:multiLevelType w:val="hybridMultilevel"/>
    <w:tmpl w:val="68249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797DFB"/>
    <w:multiLevelType w:val="hybridMultilevel"/>
    <w:tmpl w:val="96C0D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8B6FDD"/>
    <w:multiLevelType w:val="hybridMultilevel"/>
    <w:tmpl w:val="7AF6C3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7A7BA1"/>
    <w:multiLevelType w:val="hybridMultilevel"/>
    <w:tmpl w:val="65E8F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131070">
    <w:abstractNumId w:val="7"/>
  </w:num>
  <w:num w:numId="2" w16cid:durableId="63458598">
    <w:abstractNumId w:val="4"/>
  </w:num>
  <w:num w:numId="3" w16cid:durableId="293560895">
    <w:abstractNumId w:val="6"/>
  </w:num>
  <w:num w:numId="4" w16cid:durableId="1771051592">
    <w:abstractNumId w:val="8"/>
  </w:num>
  <w:num w:numId="5" w16cid:durableId="113403314">
    <w:abstractNumId w:val="3"/>
  </w:num>
  <w:num w:numId="6" w16cid:durableId="484931103">
    <w:abstractNumId w:val="2"/>
  </w:num>
  <w:num w:numId="7" w16cid:durableId="389235972">
    <w:abstractNumId w:val="0"/>
  </w:num>
  <w:num w:numId="8" w16cid:durableId="1640915831">
    <w:abstractNumId w:val="1"/>
  </w:num>
  <w:num w:numId="9" w16cid:durableId="99321863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shall Philippa: H&amp;F">
    <w15:presenceInfo w15:providerId="AD" w15:userId="S::philippa.marshall@lbhf.gov.uk::963b6eb5-33aa-48f1-bd3c-46d5e8ad4b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2"/>
    <w:rsid w:val="001033BC"/>
    <w:rsid w:val="00122824"/>
    <w:rsid w:val="00190C28"/>
    <w:rsid w:val="001D38B4"/>
    <w:rsid w:val="001D5831"/>
    <w:rsid w:val="002A7FEF"/>
    <w:rsid w:val="0043199D"/>
    <w:rsid w:val="00476539"/>
    <w:rsid w:val="00480A77"/>
    <w:rsid w:val="005C3E35"/>
    <w:rsid w:val="006E25B1"/>
    <w:rsid w:val="0074670D"/>
    <w:rsid w:val="00757810"/>
    <w:rsid w:val="00A01BE6"/>
    <w:rsid w:val="00A305C6"/>
    <w:rsid w:val="00AA7CC2"/>
    <w:rsid w:val="00AB40CE"/>
    <w:rsid w:val="00AF184E"/>
    <w:rsid w:val="00BF0A45"/>
    <w:rsid w:val="00C92C99"/>
    <w:rsid w:val="00DD5F46"/>
    <w:rsid w:val="00F10132"/>
    <w:rsid w:val="00F35486"/>
    <w:rsid w:val="0494471D"/>
    <w:rsid w:val="0E7BCE1D"/>
    <w:rsid w:val="124473D3"/>
    <w:rsid w:val="24DF6F62"/>
    <w:rsid w:val="2AA7BA19"/>
    <w:rsid w:val="376AB9ED"/>
    <w:rsid w:val="3C8D3896"/>
    <w:rsid w:val="430888EB"/>
    <w:rsid w:val="4CC99E4B"/>
    <w:rsid w:val="4E337B75"/>
    <w:rsid w:val="4E4C92C5"/>
    <w:rsid w:val="4EFFBA17"/>
    <w:rsid w:val="5E20891D"/>
    <w:rsid w:val="70FA9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A9DB"/>
  <w15:chartTrackingRefBased/>
  <w15:docId w15:val="{766C1367-3EFE-4D4B-BA2A-43388D8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1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32"/>
  </w:style>
  <w:style w:type="paragraph" w:styleId="Footer">
    <w:name w:val="footer"/>
    <w:basedOn w:val="Normal"/>
    <w:link w:val="FooterChar"/>
    <w:uiPriority w:val="99"/>
    <w:unhideWhenUsed/>
    <w:rsid w:val="00F10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32"/>
  </w:style>
  <w:style w:type="character" w:styleId="Hyperlink">
    <w:name w:val="Hyperlink"/>
    <w:basedOn w:val="DefaultParagraphFont"/>
    <w:uiPriority w:val="99"/>
    <w:unhideWhenUsed/>
    <w:rsid w:val="00F101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13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rlyYearsFunding@lbhf.gov.uk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documenttasks/documenttasks1.xml><?xml version="1.0" encoding="utf-8"?>
<t:Tasks xmlns:t="http://schemas.microsoft.com/office/tasks/2019/documenttasks" xmlns:oel="http://schemas.microsoft.com/office/2019/extlst">
  <t:Task id="{7385ACED-C478-41BF-A88F-F0BF0393DED4}">
    <t:Anchor>
      <t:Comment id="1155703772"/>
    </t:Anchor>
    <t:History>
      <t:Event id="{E828FE36-65D4-4D20-B225-3E7D4F3185C6}" time="2025-09-11T08:53:46.368Z">
        <t:Attribution userId="S::philippa.marshall@lbhf.gov.uk::963b6eb5-33aa-48f1-bd3c-46d5e8ad4b02" userProvider="AD" userName="Marshall Philippa: H&amp;F"/>
        <t:Anchor>
          <t:Comment id="1155703772"/>
        </t:Anchor>
        <t:Create/>
      </t:Event>
      <t:Event id="{C500ECEB-F9E7-4366-87EF-41F6D2D319B9}" time="2025-09-11T08:53:46.368Z">
        <t:Attribution userId="S::philippa.marshall@lbhf.gov.uk::963b6eb5-33aa-48f1-bd3c-46d5e8ad4b02" userProvider="AD" userName="Marshall Philippa: H&amp;F"/>
        <t:Anchor>
          <t:Comment id="1155703772"/>
        </t:Anchor>
        <t:Assign userId="S::Renee.Daley@lbhf.gov.uk::3e683e1c-7082-44b3-bfb7-4ddcc45c5633" userProvider="AD" userName="Daley Renee: H&amp;F"/>
      </t:Event>
      <t:Event id="{4D65A200-7ED4-4AB5-9466-78D0F4C6E70A}" time="2025-09-11T08:53:46.368Z">
        <t:Attribution userId="S::philippa.marshall@lbhf.gov.uk::963b6eb5-33aa-48f1-bd3c-46d5e8ad4b02" userProvider="AD" userName="Marshall Philippa: H&amp;F"/>
        <t:Anchor>
          <t:Comment id="1155703772"/>
        </t:Anchor>
        <t:SetTitle title="@Daley Renee: H&amp;F can you make it more clear to how settings can appeal what is the process &gt;"/>
      </t:Event>
      <t:Event id="{74E295FA-66C9-408B-B8E0-9619C654709C}" time="2025-09-11T10:16:32.912Z">
        <t:Attribution userId="S::renee.daley@lbhf.gov.uk::3e683e1c-7082-44b3-bfb7-4ddcc45c5633" userProvider="AD" userName="Daley Renee: H&amp;F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Totalnumber xmlns="40f9c1f1-eaff-4fbd-9818-08c8201ac92a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8" ma:contentTypeDescription="Create a new document." ma:contentTypeScope="" ma:versionID="1df445dd9b2551ee3d2c150f0f41ad5e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3ceb4ce3a343fc5200cb72efa6be7a7a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otal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talnumber" ma:index="25" nillable="true" ma:displayName="Total number" ma:description="Total number of signed agreements" ma:format="Dropdown" ma:internalName="Total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B2A74-14B3-4197-AD51-F652091968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8b2e3c8-9990-4fa1-9bed-ff7d245fe462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202d31c-686c-4115-a7b9-5cc891ed602b"/>
    <ds:schemaRef ds:uri="40f9c1f1-eaff-4fbd-9818-08c8201ac92a"/>
  </ds:schemaRefs>
</ds:datastoreItem>
</file>

<file path=customXml/itemProps2.xml><?xml version="1.0" encoding="utf-8"?>
<ds:datastoreItem xmlns:ds="http://schemas.openxmlformats.org/officeDocument/2006/customXml" ds:itemID="{1002CD8C-7876-4888-AAFB-5809FF86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c1f1-eaff-4fbd-9818-08c8201ac92a"/>
    <ds:schemaRef ds:uri="98b2e3c8-9990-4fa1-9bed-ff7d245fe462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E130C-EB84-4067-BD37-C56C5AF54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4</DocSecurity>
  <Lines>28</Lines>
  <Paragraphs>7</Paragraphs>
  <ScaleCrop>false</ScaleCrop>
  <Company>London Borough of Hammersmith and Fulham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 Renee: H&amp;F</dc:creator>
  <cp:keywords/>
  <dc:description/>
  <cp:lastModifiedBy>Barrow Tracy: H&amp;F</cp:lastModifiedBy>
  <cp:revision>2</cp:revision>
  <dcterms:created xsi:type="dcterms:W3CDTF">2025-09-24T12:49:00Z</dcterms:created>
  <dcterms:modified xsi:type="dcterms:W3CDTF">2025-09-24T12:49:00Z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  <property fmtid="{D5CDD505-2E9C-101B-9397-08002B2CF9AE}" pid="3" name="MediaServiceImageTags">
    <vt:lpwstr/>
  </property>
</Properties>
</file>