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aford" w:hAnsi="Seaford"/>
        </w:rPr>
        <w:id w:val="-773013115"/>
        <w:docPartObj>
          <w:docPartGallery w:val="Cover Pages"/>
          <w:docPartUnique/>
        </w:docPartObj>
      </w:sdtPr>
      <w:sdtEndPr>
        <w:rPr>
          <w:rFonts w:cstheme="majorHAnsi"/>
          <w:sz w:val="24"/>
          <w:szCs w:val="24"/>
        </w:rPr>
      </w:sdtEndPr>
      <w:sdtContent>
        <w:p w14:paraId="5EE6A308" w14:textId="52947391" w:rsidR="00D13641" w:rsidRPr="00404623" w:rsidRDefault="00CA7D67" w:rsidP="00A530E7">
          <w:pPr>
            <w:spacing w:after="781"/>
            <w:rPr>
              <w:rFonts w:ascii="Seaford" w:hAnsi="Seaford"/>
              <w:noProof/>
            </w:rPr>
          </w:pPr>
          <w:r w:rsidRPr="00404623">
            <w:rPr>
              <w:rFonts w:ascii="Seaford" w:hAnsi="Seaford"/>
              <w:noProof/>
            </w:rPr>
            <w:drawing>
              <wp:anchor distT="0" distB="0" distL="114300" distR="114300" simplePos="0" relativeHeight="251658250" behindDoc="1" locked="0" layoutInCell="1" allowOverlap="1" wp14:anchorId="5D5B5397" wp14:editId="53A24450">
                <wp:simplePos x="0" y="0"/>
                <wp:positionH relativeFrom="margin">
                  <wp:align>left</wp:align>
                </wp:positionH>
                <wp:positionV relativeFrom="paragraph">
                  <wp:posOffset>4432300</wp:posOffset>
                </wp:positionV>
                <wp:extent cx="4362450" cy="2647950"/>
                <wp:effectExtent l="0" t="0" r="0" b="0"/>
                <wp:wrapTight wrapText="bothSides">
                  <wp:wrapPolygon edited="0">
                    <wp:start x="0" y="0"/>
                    <wp:lineTo x="0" y="21445"/>
                    <wp:lineTo x="21506" y="21445"/>
                    <wp:lineTo x="21506" y="0"/>
                    <wp:lineTo x="0" y="0"/>
                  </wp:wrapPolygon>
                </wp:wrapTight>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a:stretch>
                          <a:fillRect/>
                        </a:stretch>
                      </pic:blipFill>
                      <pic:spPr>
                        <a:xfrm>
                          <a:off x="0" y="0"/>
                          <a:ext cx="4362450" cy="2647950"/>
                        </a:xfrm>
                        <a:prstGeom prst="rect">
                          <a:avLst/>
                        </a:prstGeom>
                      </pic:spPr>
                    </pic:pic>
                  </a:graphicData>
                </a:graphic>
                <wp14:sizeRelH relativeFrom="margin">
                  <wp14:pctWidth>0</wp14:pctWidth>
                </wp14:sizeRelH>
                <wp14:sizeRelV relativeFrom="margin">
                  <wp14:pctHeight>0</wp14:pctHeight>
                </wp14:sizeRelV>
              </wp:anchor>
            </w:drawing>
          </w:r>
          <w:r w:rsidR="00D13641" w:rsidRPr="00404623">
            <w:rPr>
              <w:rFonts w:ascii="Seaford" w:hAnsi="Seaford"/>
              <w:noProof/>
            </w:rPr>
            <mc:AlternateContent>
              <mc:Choice Requires="wpg">
                <w:drawing>
                  <wp:anchor distT="0" distB="0" distL="114300" distR="114300" simplePos="0" relativeHeight="251658249" behindDoc="0" locked="0" layoutInCell="1" allowOverlap="1" wp14:anchorId="46DF0A89" wp14:editId="4C760806">
                    <wp:simplePos x="0" y="0"/>
                    <wp:positionH relativeFrom="page">
                      <wp:posOffset>0</wp:posOffset>
                    </wp:positionH>
                    <wp:positionV relativeFrom="page">
                      <wp:posOffset>497310</wp:posOffset>
                    </wp:positionV>
                    <wp:extent cx="7562850" cy="5034643"/>
                    <wp:effectExtent l="0" t="0" r="0" b="0"/>
                    <wp:wrapTopAndBottom/>
                    <wp:docPr id="5642" name="Group 5642"/>
                    <wp:cNvGraphicFramePr/>
                    <a:graphic xmlns:a="http://schemas.openxmlformats.org/drawingml/2006/main">
                      <a:graphicData uri="http://schemas.microsoft.com/office/word/2010/wordprocessingGroup">
                        <wpg:wgp>
                          <wpg:cNvGrpSpPr/>
                          <wpg:grpSpPr>
                            <a:xfrm>
                              <a:off x="0" y="0"/>
                              <a:ext cx="7562850" cy="5034643"/>
                              <a:chOff x="0" y="0"/>
                              <a:chExt cx="7562850" cy="5034643"/>
                            </a:xfrm>
                          </wpg:grpSpPr>
                          <wps:wsp>
                            <wps:cNvPr id="11" name="Shape 11"/>
                            <wps:cNvSpPr/>
                            <wps:spPr>
                              <a:xfrm>
                                <a:off x="671930" y="505020"/>
                                <a:ext cx="4875036" cy="3239971"/>
                              </a:xfrm>
                              <a:custGeom>
                                <a:avLst/>
                                <a:gdLst/>
                                <a:ahLst/>
                                <a:cxnLst/>
                                <a:rect l="0" t="0" r="0" b="0"/>
                                <a:pathLst>
                                  <a:path w="4875036" h="3239971">
                                    <a:moveTo>
                                      <a:pt x="4221507" y="0"/>
                                    </a:moveTo>
                                    <a:lnTo>
                                      <a:pt x="4221516" y="0"/>
                                    </a:lnTo>
                                    <a:lnTo>
                                      <a:pt x="4357102" y="6948"/>
                                    </a:lnTo>
                                    <a:cubicBezTo>
                                      <a:pt x="4661389" y="39377"/>
                                      <a:pt x="4874865" y="185334"/>
                                      <a:pt x="4866615" y="445225"/>
                                    </a:cubicBezTo>
                                    <a:cubicBezTo>
                                      <a:pt x="4866615" y="445225"/>
                                      <a:pt x="4864218" y="1176292"/>
                                      <a:pt x="4874729" y="1455937"/>
                                    </a:cubicBezTo>
                                    <a:lnTo>
                                      <a:pt x="4875036" y="1500547"/>
                                    </a:lnTo>
                                    <a:lnTo>
                                      <a:pt x="4875036" y="1643737"/>
                                    </a:lnTo>
                                    <a:lnTo>
                                      <a:pt x="4872076" y="1768234"/>
                                    </a:lnTo>
                                    <a:cubicBezTo>
                                      <a:pt x="4860797" y="2077804"/>
                                      <a:pt x="4829368" y="2352540"/>
                                      <a:pt x="4829368" y="2352540"/>
                                    </a:cubicBezTo>
                                    <a:cubicBezTo>
                                      <a:pt x="4825810" y="2616529"/>
                                      <a:pt x="4571951" y="2812520"/>
                                      <a:pt x="4277384" y="2812520"/>
                                    </a:cubicBezTo>
                                    <a:cubicBezTo>
                                      <a:pt x="4277384" y="2812520"/>
                                      <a:pt x="3992929" y="2797901"/>
                                      <a:pt x="3558274" y="2817616"/>
                                    </a:cubicBezTo>
                                    <a:cubicBezTo>
                                      <a:pt x="3283797" y="2830066"/>
                                      <a:pt x="2072078" y="2834651"/>
                                      <a:pt x="1332673" y="2836342"/>
                                    </a:cubicBezTo>
                                    <a:lnTo>
                                      <a:pt x="1379625" y="3207047"/>
                                    </a:lnTo>
                                    <a:cubicBezTo>
                                      <a:pt x="1381683" y="3226620"/>
                                      <a:pt x="1360366" y="3239971"/>
                                      <a:pt x="1343676" y="3229540"/>
                                    </a:cubicBezTo>
                                    <a:cubicBezTo>
                                      <a:pt x="1267454" y="3181903"/>
                                      <a:pt x="1163258" y="3121241"/>
                                      <a:pt x="958847" y="2993008"/>
                                    </a:cubicBezTo>
                                    <a:cubicBezTo>
                                      <a:pt x="873922" y="2939731"/>
                                      <a:pt x="797445" y="2882712"/>
                                      <a:pt x="740170" y="2837258"/>
                                    </a:cubicBezTo>
                                    <a:cubicBezTo>
                                      <a:pt x="644809" y="2837328"/>
                                      <a:pt x="589229" y="2837328"/>
                                      <a:pt x="589229" y="2837328"/>
                                    </a:cubicBezTo>
                                    <a:cubicBezTo>
                                      <a:pt x="294662" y="2837328"/>
                                      <a:pt x="39020" y="2694694"/>
                                      <a:pt x="37245" y="2459902"/>
                                    </a:cubicBezTo>
                                    <a:cubicBezTo>
                                      <a:pt x="37245" y="2459902"/>
                                      <a:pt x="2290" y="1281386"/>
                                      <a:pt x="105" y="922215"/>
                                    </a:cubicBezTo>
                                    <a:lnTo>
                                      <a:pt x="0" y="890606"/>
                                    </a:lnTo>
                                    <a:lnTo>
                                      <a:pt x="0" y="889836"/>
                                    </a:lnTo>
                                    <a:lnTo>
                                      <a:pt x="798" y="777375"/>
                                    </a:lnTo>
                                    <a:cubicBezTo>
                                      <a:pt x="4363" y="526691"/>
                                      <a:pt x="18622" y="365496"/>
                                      <a:pt x="18622" y="365496"/>
                                    </a:cubicBezTo>
                                    <a:cubicBezTo>
                                      <a:pt x="18624" y="176815"/>
                                      <a:pt x="0" y="0"/>
                                      <a:pt x="551984" y="11928"/>
                                    </a:cubicBezTo>
                                    <a:cubicBezTo>
                                      <a:pt x="551984" y="11928"/>
                                      <a:pt x="1373881" y="41694"/>
                                      <a:pt x="1953737" y="30552"/>
                                    </a:cubicBezTo>
                                    <a:cubicBezTo>
                                      <a:pt x="2719787" y="18996"/>
                                      <a:pt x="4129871" y="1157"/>
                                      <a:pt x="4217253" y="54"/>
                                    </a:cubicBezTo>
                                    <a:lnTo>
                                      <a:pt x="4221507" y="0"/>
                                    </a:lnTo>
                                    <a:close/>
                                  </a:path>
                                </a:pathLst>
                              </a:custGeom>
                              <a:ln w="0" cap="flat">
                                <a:miter lim="127000"/>
                              </a:ln>
                            </wps:spPr>
                            <wps:style>
                              <a:lnRef idx="0">
                                <a:srgbClr val="000000">
                                  <a:alpha val="0"/>
                                </a:srgbClr>
                              </a:lnRef>
                              <a:fillRef idx="1">
                                <a:srgbClr val="E5AEAD"/>
                              </a:fillRef>
                              <a:effectRef idx="0">
                                <a:scrgbClr r="0" g="0" b="0"/>
                              </a:effectRef>
                              <a:fontRef idx="none"/>
                            </wps:style>
                            <wps:bodyPr/>
                          </wps:wsp>
                          <wps:wsp>
                            <wps:cNvPr id="13" name="Shape 13"/>
                            <wps:cNvSpPr/>
                            <wps:spPr>
                              <a:xfrm>
                                <a:off x="5934413" y="0"/>
                                <a:ext cx="1628437" cy="2001941"/>
                              </a:xfrm>
                              <a:custGeom>
                                <a:avLst/>
                                <a:gdLst/>
                                <a:ahLst/>
                                <a:cxnLst/>
                                <a:rect l="0" t="0" r="0" b="0"/>
                                <a:pathLst>
                                  <a:path w="1628437" h="2001941">
                                    <a:moveTo>
                                      <a:pt x="282132" y="425"/>
                                    </a:moveTo>
                                    <a:cubicBezTo>
                                      <a:pt x="300847" y="0"/>
                                      <a:pt x="320856" y="5"/>
                                      <a:pt x="342246" y="467"/>
                                    </a:cubicBezTo>
                                    <a:cubicBezTo>
                                      <a:pt x="342246" y="467"/>
                                      <a:pt x="851845" y="18923"/>
                                      <a:pt x="1211371" y="12014"/>
                                    </a:cubicBezTo>
                                    <a:cubicBezTo>
                                      <a:pt x="1249045" y="9241"/>
                                      <a:pt x="1396027" y="5884"/>
                                      <a:pt x="1565037" y="2771"/>
                                    </a:cubicBezTo>
                                    <a:lnTo>
                                      <a:pt x="1628437" y="1672"/>
                                    </a:lnTo>
                                    <a:lnTo>
                                      <a:pt x="1628437" y="1744735"/>
                                    </a:lnTo>
                                    <a:lnTo>
                                      <a:pt x="1618384" y="1744993"/>
                                    </a:lnTo>
                                    <a:cubicBezTo>
                                      <a:pt x="1427634" y="1749098"/>
                                      <a:pt x="1149345" y="1750893"/>
                                      <a:pt x="826294" y="1751680"/>
                                    </a:cubicBezTo>
                                    <a:lnTo>
                                      <a:pt x="855405" y="1981527"/>
                                    </a:lnTo>
                                    <a:cubicBezTo>
                                      <a:pt x="856681" y="1993663"/>
                                      <a:pt x="843464" y="2001941"/>
                                      <a:pt x="833115" y="1995473"/>
                                    </a:cubicBezTo>
                                    <a:cubicBezTo>
                                      <a:pt x="785856" y="1965937"/>
                                      <a:pt x="721251" y="1928325"/>
                                      <a:pt x="594511" y="1848817"/>
                                    </a:cubicBezTo>
                                    <a:cubicBezTo>
                                      <a:pt x="541855" y="1815784"/>
                                      <a:pt x="494438" y="1780431"/>
                                      <a:pt x="458926" y="1752248"/>
                                    </a:cubicBezTo>
                                    <a:cubicBezTo>
                                      <a:pt x="399800" y="1752292"/>
                                      <a:pt x="365339" y="1752292"/>
                                      <a:pt x="365339" y="1752292"/>
                                    </a:cubicBezTo>
                                    <a:cubicBezTo>
                                      <a:pt x="182699" y="1752292"/>
                                      <a:pt x="24194" y="1663854"/>
                                      <a:pt x="23094" y="1518277"/>
                                    </a:cubicBezTo>
                                    <a:cubicBezTo>
                                      <a:pt x="23094" y="1518277"/>
                                      <a:pt x="2796" y="833948"/>
                                      <a:pt x="259" y="587965"/>
                                    </a:cubicBezTo>
                                    <a:lnTo>
                                      <a:pt x="0" y="545075"/>
                                    </a:lnTo>
                                    <a:lnTo>
                                      <a:pt x="0" y="544837"/>
                                    </a:lnTo>
                                    <a:lnTo>
                                      <a:pt x="495" y="475065"/>
                                    </a:lnTo>
                                    <a:cubicBezTo>
                                      <a:pt x="2706" y="319634"/>
                                      <a:pt x="11546" y="219689"/>
                                      <a:pt x="11546" y="219689"/>
                                    </a:cubicBezTo>
                                    <a:cubicBezTo>
                                      <a:pt x="11548" y="110013"/>
                                      <a:pt x="1399" y="6804"/>
                                      <a:pt x="282132" y="425"/>
                                    </a:cubicBezTo>
                                    <a:close/>
                                  </a:path>
                                </a:pathLst>
                              </a:custGeom>
                              <a:ln w="0" cap="flat">
                                <a:miter lim="127000"/>
                              </a:ln>
                            </wps:spPr>
                            <wps:style>
                              <a:lnRef idx="0">
                                <a:srgbClr val="000000">
                                  <a:alpha val="0"/>
                                </a:srgbClr>
                              </a:lnRef>
                              <a:fillRef idx="1">
                                <a:srgbClr val="5A57EC"/>
                              </a:fillRef>
                              <a:effectRef idx="0">
                                <a:scrgbClr r="0" g="0" b="0"/>
                              </a:effectRef>
                              <a:fontRef idx="none"/>
                            </wps:style>
                            <wps:bodyPr/>
                          </wps:wsp>
                          <wps:wsp>
                            <wps:cNvPr id="15" name="Shape 15"/>
                            <wps:cNvSpPr/>
                            <wps:spPr>
                              <a:xfrm>
                                <a:off x="2683868" y="2979039"/>
                                <a:ext cx="4255093" cy="2055603"/>
                              </a:xfrm>
                              <a:custGeom>
                                <a:avLst/>
                                <a:gdLst/>
                                <a:ahLst/>
                                <a:cxnLst/>
                                <a:rect l="0" t="0" r="0" b="0"/>
                                <a:pathLst>
                                  <a:path w="4255093" h="2055603">
                                    <a:moveTo>
                                      <a:pt x="2986987" y="376"/>
                                    </a:moveTo>
                                    <a:cubicBezTo>
                                      <a:pt x="3179118" y="1003"/>
                                      <a:pt x="3330655" y="6016"/>
                                      <a:pt x="3330655" y="6016"/>
                                    </a:cubicBezTo>
                                    <a:cubicBezTo>
                                      <a:pt x="3638633" y="18525"/>
                                      <a:pt x="3942437" y="134474"/>
                                      <a:pt x="4107785" y="339478"/>
                                    </a:cubicBezTo>
                                    <a:cubicBezTo>
                                      <a:pt x="4202497" y="456902"/>
                                      <a:pt x="4241825" y="603543"/>
                                      <a:pt x="4252346" y="768841"/>
                                    </a:cubicBezTo>
                                    <a:lnTo>
                                      <a:pt x="4255093" y="846360"/>
                                    </a:lnTo>
                                    <a:lnTo>
                                      <a:pt x="4255093" y="871916"/>
                                    </a:lnTo>
                                    <a:lnTo>
                                      <a:pt x="4254247" y="939966"/>
                                    </a:lnTo>
                                    <a:cubicBezTo>
                                      <a:pt x="4254247" y="1383365"/>
                                      <a:pt x="4031251" y="1735644"/>
                                      <a:pt x="3523601" y="1798477"/>
                                    </a:cubicBezTo>
                                    <a:cubicBezTo>
                                      <a:pt x="3491789" y="1825255"/>
                                      <a:pt x="3433201" y="1872140"/>
                                      <a:pt x="3365236" y="1914776"/>
                                    </a:cubicBezTo>
                                    <a:cubicBezTo>
                                      <a:pt x="3248674" y="1987899"/>
                                      <a:pt x="3189258" y="2022491"/>
                                      <a:pt x="3145794" y="2049655"/>
                                    </a:cubicBezTo>
                                    <a:cubicBezTo>
                                      <a:pt x="3136276" y="2055603"/>
                                      <a:pt x="3124121" y="2047991"/>
                                      <a:pt x="3125295" y="2036828"/>
                                    </a:cubicBezTo>
                                    <a:lnTo>
                                      <a:pt x="3153403" y="1814896"/>
                                    </a:lnTo>
                                    <a:cubicBezTo>
                                      <a:pt x="3032741" y="1817691"/>
                                      <a:pt x="2888591" y="1819455"/>
                                      <a:pt x="2738973" y="1817760"/>
                                    </a:cubicBezTo>
                                    <a:cubicBezTo>
                                      <a:pt x="2419774" y="1814142"/>
                                      <a:pt x="883922" y="1801058"/>
                                      <a:pt x="883922" y="1801058"/>
                                    </a:cubicBezTo>
                                    <a:cubicBezTo>
                                      <a:pt x="679771" y="1786284"/>
                                      <a:pt x="472572" y="1757885"/>
                                      <a:pt x="333145" y="1660589"/>
                                    </a:cubicBezTo>
                                    <a:cubicBezTo>
                                      <a:pt x="129813" y="1518700"/>
                                      <a:pt x="27248" y="1273651"/>
                                      <a:pt x="4783" y="1039377"/>
                                    </a:cubicBezTo>
                                    <a:lnTo>
                                      <a:pt x="0" y="939970"/>
                                    </a:lnTo>
                                    <a:lnTo>
                                      <a:pt x="0" y="939963"/>
                                    </a:lnTo>
                                    <a:lnTo>
                                      <a:pt x="8873" y="782461"/>
                                    </a:lnTo>
                                    <a:cubicBezTo>
                                      <a:pt x="22091" y="626337"/>
                                      <a:pt x="50816" y="478038"/>
                                      <a:pt x="117311" y="370741"/>
                                    </a:cubicBezTo>
                                    <a:cubicBezTo>
                                      <a:pt x="286483" y="97756"/>
                                      <a:pt x="615993" y="6016"/>
                                      <a:pt x="1404151" y="6016"/>
                                    </a:cubicBezTo>
                                    <a:cubicBezTo>
                                      <a:pt x="1404151" y="6016"/>
                                      <a:pt x="2285842" y="19407"/>
                                      <a:pt x="2621275" y="6016"/>
                                    </a:cubicBezTo>
                                    <a:cubicBezTo>
                                      <a:pt x="2741817" y="1203"/>
                                      <a:pt x="2871709" y="0"/>
                                      <a:pt x="2986987" y="376"/>
                                    </a:cubicBezTo>
                                    <a:close/>
                                  </a:path>
                                </a:pathLst>
                              </a:custGeom>
                              <a:ln w="0" cap="flat">
                                <a:miter lim="127000"/>
                              </a:ln>
                            </wps:spPr>
                            <wps:style>
                              <a:lnRef idx="0">
                                <a:srgbClr val="000000">
                                  <a:alpha val="0"/>
                                </a:srgbClr>
                              </a:lnRef>
                              <a:fillRef idx="1">
                                <a:srgbClr val="EA895B"/>
                              </a:fillRef>
                              <a:effectRef idx="0">
                                <a:scrgbClr r="0" g="0" b="0"/>
                              </a:effectRef>
                              <a:fontRef idx="none"/>
                            </wps:style>
                            <wps:bodyPr/>
                          </wps:wsp>
                          <wps:wsp>
                            <wps:cNvPr id="17" name="Shape 17"/>
                            <wps:cNvSpPr/>
                            <wps:spPr>
                              <a:xfrm>
                                <a:off x="0" y="3738008"/>
                                <a:ext cx="1481994" cy="1296400"/>
                              </a:xfrm>
                              <a:custGeom>
                                <a:avLst/>
                                <a:gdLst/>
                                <a:ahLst/>
                                <a:cxnLst/>
                                <a:rect l="0" t="0" r="0" b="0"/>
                                <a:pathLst>
                                  <a:path w="1481994" h="1296400">
                                    <a:moveTo>
                                      <a:pt x="677955" y="237"/>
                                    </a:moveTo>
                                    <a:cubicBezTo>
                                      <a:pt x="799126" y="632"/>
                                      <a:pt x="894695" y="3794"/>
                                      <a:pt x="894695" y="3794"/>
                                    </a:cubicBezTo>
                                    <a:cubicBezTo>
                                      <a:pt x="1088926" y="11683"/>
                                      <a:pt x="1280525" y="84809"/>
                                      <a:pt x="1384805" y="214098"/>
                                    </a:cubicBezTo>
                                    <a:cubicBezTo>
                                      <a:pt x="1464446" y="312838"/>
                                      <a:pt x="1481994" y="444336"/>
                                      <a:pt x="1477173" y="592805"/>
                                    </a:cubicBezTo>
                                    <a:cubicBezTo>
                                      <a:pt x="1477173" y="872442"/>
                                      <a:pt x="1336537" y="1094612"/>
                                      <a:pt x="1016379" y="1134239"/>
                                    </a:cubicBezTo>
                                    <a:cubicBezTo>
                                      <a:pt x="996317" y="1151127"/>
                                      <a:pt x="959367" y="1180696"/>
                                      <a:pt x="916504" y="1207585"/>
                                    </a:cubicBezTo>
                                    <a:cubicBezTo>
                                      <a:pt x="842992" y="1253701"/>
                                      <a:pt x="805520" y="1275517"/>
                                      <a:pt x="778109" y="1292649"/>
                                    </a:cubicBezTo>
                                    <a:cubicBezTo>
                                      <a:pt x="772106" y="1296400"/>
                                      <a:pt x="764440" y="1291599"/>
                                      <a:pt x="765181" y="1284560"/>
                                    </a:cubicBezTo>
                                    <a:lnTo>
                                      <a:pt x="782908" y="1144594"/>
                                    </a:lnTo>
                                    <a:cubicBezTo>
                                      <a:pt x="706811" y="1146357"/>
                                      <a:pt x="615900" y="1147470"/>
                                      <a:pt x="521541" y="1146401"/>
                                    </a:cubicBezTo>
                                    <a:cubicBezTo>
                                      <a:pt x="446050" y="1145545"/>
                                      <a:pt x="262658" y="1143850"/>
                                      <a:pt x="62906" y="1142065"/>
                                    </a:cubicBezTo>
                                    <a:lnTo>
                                      <a:pt x="0" y="1141508"/>
                                    </a:lnTo>
                                    <a:lnTo>
                                      <a:pt x="0" y="7029"/>
                                    </a:lnTo>
                                    <a:lnTo>
                                      <a:pt x="111475" y="7505"/>
                                    </a:lnTo>
                                    <a:cubicBezTo>
                                      <a:pt x="240206" y="7753"/>
                                      <a:pt x="367983" y="6961"/>
                                      <a:pt x="447312" y="3794"/>
                                    </a:cubicBezTo>
                                    <a:cubicBezTo>
                                      <a:pt x="523334" y="759"/>
                                      <a:pt x="605253" y="0"/>
                                      <a:pt x="677955" y="237"/>
                                    </a:cubicBezTo>
                                    <a:close/>
                                  </a:path>
                                </a:pathLst>
                              </a:custGeom>
                              <a:ln w="0" cap="flat">
                                <a:miter lim="127000"/>
                              </a:ln>
                            </wps:spPr>
                            <wps:style>
                              <a:lnRef idx="0">
                                <a:srgbClr val="000000">
                                  <a:alpha val="0"/>
                                </a:srgbClr>
                              </a:lnRef>
                              <a:fillRef idx="1">
                                <a:srgbClr val="F5BE49"/>
                              </a:fillRef>
                              <a:effectRef idx="0">
                                <a:scrgbClr r="0" g="0" b="0"/>
                              </a:effectRef>
                              <a:fontRef idx="none"/>
                            </wps:style>
                            <wps:bodyPr/>
                          </wps:wsp>
                          <wps:wsp>
                            <wps:cNvPr id="22" name="Rectangle 22"/>
                            <wps:cNvSpPr/>
                            <wps:spPr>
                              <a:xfrm>
                                <a:off x="3096891" y="3773768"/>
                                <a:ext cx="4560981" cy="447465"/>
                              </a:xfrm>
                              <a:prstGeom prst="rect">
                                <a:avLst/>
                              </a:prstGeom>
                              <a:ln>
                                <a:noFill/>
                              </a:ln>
                            </wps:spPr>
                            <wps:txbx>
                              <w:txbxContent>
                                <w:p w14:paraId="662D7ACB" w14:textId="77777777" w:rsidR="00D13641" w:rsidRDefault="00D13641" w:rsidP="00D13641">
                                  <w:r>
                                    <w:rPr>
                                      <w:rFonts w:ascii="Calibri" w:eastAsia="Calibri" w:hAnsi="Calibri" w:cs="Calibri"/>
                                      <w:color w:val="39351F"/>
                                      <w:spacing w:val="28"/>
                                      <w:w w:val="108"/>
                                      <w:sz w:val="55"/>
                                    </w:rPr>
                                    <w:t>and</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what</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you</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can</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do</w:t>
                                  </w:r>
                                </w:p>
                              </w:txbxContent>
                            </wps:txbx>
                            <wps:bodyPr horzOverflow="overflow" vert="horz" lIns="0" tIns="0" rIns="0" bIns="0" rtlCol="0">
                              <a:noAutofit/>
                            </wps:bodyPr>
                          </wps:wsp>
                          <wps:wsp>
                            <wps:cNvPr id="23" name="Rectangle 23"/>
                            <wps:cNvSpPr/>
                            <wps:spPr>
                              <a:xfrm>
                                <a:off x="1857399" y="1235609"/>
                                <a:ext cx="3331373" cy="651944"/>
                              </a:xfrm>
                              <a:prstGeom prst="rect">
                                <a:avLst/>
                              </a:prstGeom>
                              <a:ln>
                                <a:noFill/>
                              </a:ln>
                            </wps:spPr>
                            <wps:txbx>
                              <w:txbxContent>
                                <w:p w14:paraId="79CCB5DA" w14:textId="77777777" w:rsidR="00D13641" w:rsidRDefault="00D13641" w:rsidP="00D13641">
                                  <w:r>
                                    <w:rPr>
                                      <w:rFonts w:ascii="Calibri" w:eastAsia="Calibri" w:hAnsi="Calibri" w:cs="Calibri"/>
                                      <w:color w:val="405B32"/>
                                      <w:w w:val="89"/>
                                      <w:sz w:val="80"/>
                                    </w:rPr>
                                    <w:t>WHY</w:t>
                                  </w:r>
                                  <w:r>
                                    <w:rPr>
                                      <w:rFonts w:ascii="Calibri" w:eastAsia="Calibri" w:hAnsi="Calibri" w:cs="Calibri"/>
                                      <w:color w:val="405B32"/>
                                      <w:spacing w:val="-21"/>
                                      <w:w w:val="89"/>
                                      <w:sz w:val="80"/>
                                    </w:rPr>
                                    <w:t xml:space="preserve"> </w:t>
                                  </w:r>
                                  <w:r>
                                    <w:rPr>
                                      <w:rFonts w:ascii="Calibri" w:eastAsia="Calibri" w:hAnsi="Calibri" w:cs="Calibri"/>
                                      <w:color w:val="405B32"/>
                                      <w:w w:val="89"/>
                                      <w:sz w:val="80"/>
                                    </w:rPr>
                                    <w:t>SCHOOL</w:t>
                                  </w:r>
                                </w:p>
                              </w:txbxContent>
                            </wps:txbx>
                            <wps:bodyPr horzOverflow="overflow" vert="horz" lIns="0" tIns="0" rIns="0" bIns="0" rtlCol="0">
                              <a:noAutofit/>
                            </wps:bodyPr>
                          </wps:wsp>
                          <wps:wsp>
                            <wps:cNvPr id="24" name="Rectangle 24"/>
                            <wps:cNvSpPr/>
                            <wps:spPr>
                              <a:xfrm>
                                <a:off x="1038089" y="1740624"/>
                                <a:ext cx="5510747" cy="651944"/>
                              </a:xfrm>
                              <a:prstGeom prst="rect">
                                <a:avLst/>
                              </a:prstGeom>
                              <a:ln>
                                <a:noFill/>
                              </a:ln>
                            </wps:spPr>
                            <wps:txbx>
                              <w:txbxContent>
                                <w:p w14:paraId="116A6BA1" w14:textId="77777777" w:rsidR="00D13641" w:rsidRDefault="00D13641" w:rsidP="00D13641">
                                  <w:r>
                                    <w:rPr>
                                      <w:rFonts w:ascii="Calibri" w:eastAsia="Calibri" w:hAnsi="Calibri" w:cs="Calibri"/>
                                      <w:color w:val="405B32"/>
                                      <w:w w:val="91"/>
                                      <w:sz w:val="80"/>
                                    </w:rPr>
                                    <w:t>BELONGING</w:t>
                                  </w:r>
                                  <w:r>
                                    <w:rPr>
                                      <w:rFonts w:ascii="Calibri" w:eastAsia="Calibri" w:hAnsi="Calibri" w:cs="Calibri"/>
                                      <w:color w:val="405B32"/>
                                      <w:spacing w:val="-21"/>
                                      <w:w w:val="91"/>
                                      <w:sz w:val="80"/>
                                    </w:rPr>
                                    <w:t xml:space="preserve"> </w:t>
                                  </w:r>
                                  <w:r>
                                    <w:rPr>
                                      <w:rFonts w:ascii="Calibri" w:eastAsia="Calibri" w:hAnsi="Calibri" w:cs="Calibri"/>
                                      <w:color w:val="405B32"/>
                                      <w:w w:val="91"/>
                                      <w:sz w:val="80"/>
                                    </w:rPr>
                                    <w:t>MATTERS</w:t>
                                  </w:r>
                                </w:p>
                              </w:txbxContent>
                            </wps:txbx>
                            <wps:bodyPr horzOverflow="overflow" vert="horz" lIns="0" tIns="0" rIns="0" bIns="0" rtlCol="0">
                              <a:noAutofit/>
                            </wps:bodyPr>
                          </wps:wsp>
                        </wpg:wgp>
                      </a:graphicData>
                    </a:graphic>
                  </wp:anchor>
                </w:drawing>
              </mc:Choice>
              <mc:Fallback>
                <w:pict>
                  <v:group w14:anchorId="46DF0A89" id="Group 5642" o:spid="_x0000_s1026" style="position:absolute;margin-left:0;margin-top:39.15pt;width:595.5pt;height:396.45pt;z-index:251658249;mso-position-horizontal-relative:page;mso-position-vertical-relative:page" coordsize="75628,5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">
                    <v:shape id="Shape 11" o:spid="_x0000_s1027" style="position:absolute;left:6719;top:5050;width:48750;height:32399;visibility:visible;mso-wrap-style:square;v-text-anchor:top" coordsize="4875036,3239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" path="m4221507,r9,l4357102,6948v304287,32429,517763,178386,509513,438277c4866615,445225,4864218,1176292,4874729,1455937r307,44610l4875036,1643737r-2960,124497c4860797,2077804,4829368,2352540,4829368,2352540v-3558,263989,-257417,459980,-551984,459980c4277384,2812520,3992929,2797901,3558274,2817616v-274477,12450,-1486196,17035,-2225601,18726l1379625,3207047v2058,19573,-19259,32924,-35949,22493c1267454,3181903,1163258,3121241,958847,2993008,873922,2939731,797445,2882712,740170,2837258v-95361,70,-150941,70,-150941,70c294662,2837328,39020,2694694,37245,2459902v,,-34955,-1178516,-37140,-1537687l,890606r,-770l798,777375c4363,526691,18622,365496,18622,365496,18624,176815,,,551984,11928v,,821897,29766,1401753,18624c2719787,18996,4129871,1157,4217253,54l4221507,xe" fillcolor="#e5aead" stroked="f" strokeweight="0">
                      <v:stroke miterlimit="83231f" joinstyle="miter"/>
                      <v:path arrowok="t" textboxrect="0,0,4875036,3239971"/>
                    </v:shape>
                    <v:shape id="Shape 13" o:spid="_x0000_s1028" style="position:absolute;left:59344;width:16284;height:20019;visibility:visible;mso-wrap-style:square;v-text-anchor:top" coordsize="1628437,200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" path="m282132,425c300847,,320856,5,342246,467v,,509599,18456,869125,11547c1249045,9241,1396027,5884,1565037,2771r63400,-1099l1628437,1744735r-10053,258c1427634,1749098,1149345,1750893,826294,1751680r29111,229847c856681,1993663,843464,2001941,833115,1995473,785856,1965937,721251,1928325,594511,1848817v-52656,-33033,-100073,-68386,-135585,-96569c399800,1752292,365339,1752292,365339,1752292v-182640,,-341145,-88438,-342245,-234015c23094,1518277,2796,833948,259,587965l,545075r,-238l495,475065c2706,319634,11546,219689,11546,219689,11548,110013,1399,6804,282132,425xe" fillcolor="#5a57ec" stroked="f" strokeweight="0">
                      <v:stroke miterlimit="83231f" joinstyle="miter"/>
                      <v:path arrowok="t" textboxrect="0,0,1628437,2001941"/>
                    </v:shape>
                    <v:shape id="Shape 15" o:spid="_x0000_s1029" style="position:absolute;left:26838;top:29790;width:42551;height:20556;visibility:visible;mso-wrap-style:square;v-text-anchor:top" coordsize="4255093,205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" path="m2986987,376v192131,627,343668,5640,343668,5640c3638633,18525,3942437,134474,4107785,339478v94712,117424,134040,264065,144561,429363l4255093,846360r,25556l4254247,939966v,443399,-222996,795678,-730646,858511c3491789,1825255,3433201,1872140,3365236,1914776v-116562,73123,-175978,107715,-219442,134879c3136276,2055603,3124121,2047991,3125295,2036828r28108,-221932c3032741,1817691,2888591,1819455,2738973,1817760,2419774,1814142,883922,1801058,883922,1801058,679771,1786284,472572,1757885,333145,1660589,129813,1518700,27248,1273651,4783,1039377l,939970r,-7l8873,782461c22091,626337,50816,478038,117311,370741,286483,97756,615993,6016,1404151,6016v,,881691,13391,1217124,c2741817,1203,2871709,,2986987,376xe" fillcolor="#ea895b" stroked="f" strokeweight="0">
                      <v:stroke miterlimit="83231f" joinstyle="miter"/>
                      <v:path arrowok="t" textboxrect="0,0,4255093,2055603"/>
                    </v:shape>
                    <v:shape id="Shape 17" o:spid="_x0000_s1030" style="position:absolute;top:37380;width:14819;height:12964;visibility:visible;mso-wrap-style:square;v-text-anchor:top" coordsize="1481994,129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" path="m677955,237c799126,632,894695,3794,894695,3794v194231,7889,385830,81015,490110,210304c1464446,312838,1481994,444336,1477173,592805v,279637,-140636,501807,-460794,541434c996317,1151127,959367,1180696,916504,1207585v-73512,46116,-110984,67932,-138395,85064c772106,1296400,764440,1291599,765181,1284560r17727,-139966c706811,1146357,615900,1147470,521541,1146401v-75491,-856,-258883,-2551,-458635,-4336l,1141508,,7029r111475,476c240206,7753,367983,6961,447312,3794,523334,759,605253,,677955,237xe" fillcolor="#f5be49" stroked="f" strokeweight="0">
                      <v:stroke miterlimit="83231f" joinstyle="miter"/>
                      <v:path arrowok="t" textboxrect="0,0,1481994,1296400"/>
                    </v:shape>
                    <v:rect id="Rectangle 22" o:spid="_x0000_s1031" style="position:absolute;left:30968;top:37737;width:45610;height:4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62D7ACB" w14:textId="77777777" w:rsidR="00D13641" w:rsidRDefault="00D13641" w:rsidP="00D13641">
                            <w:r>
                              <w:rPr>
                                <w:rFonts w:ascii="Calibri" w:eastAsia="Calibri" w:hAnsi="Calibri" w:cs="Calibri"/>
                                <w:color w:val="39351F"/>
                                <w:spacing w:val="28"/>
                                <w:w w:val="108"/>
                                <w:sz w:val="55"/>
                              </w:rPr>
                              <w:t>and</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what</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you</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can</w:t>
                            </w:r>
                            <w:r>
                              <w:rPr>
                                <w:rFonts w:ascii="Calibri" w:eastAsia="Calibri" w:hAnsi="Calibri" w:cs="Calibri"/>
                                <w:color w:val="39351F"/>
                                <w:spacing w:val="13"/>
                                <w:w w:val="108"/>
                                <w:sz w:val="55"/>
                              </w:rPr>
                              <w:t xml:space="preserve"> </w:t>
                            </w:r>
                            <w:r>
                              <w:rPr>
                                <w:rFonts w:ascii="Calibri" w:eastAsia="Calibri" w:hAnsi="Calibri" w:cs="Calibri"/>
                                <w:color w:val="39351F"/>
                                <w:spacing w:val="28"/>
                                <w:w w:val="108"/>
                                <w:sz w:val="55"/>
                              </w:rPr>
                              <w:t>do</w:t>
                            </w:r>
                          </w:p>
                        </w:txbxContent>
                      </v:textbox>
                    </v:rect>
                    <v:rect id="Rectangle 23" o:spid="_x0000_s1032" style="position:absolute;left:18573;top:12356;width:33314;height:6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9CCB5DA" w14:textId="77777777" w:rsidR="00D13641" w:rsidRDefault="00D13641" w:rsidP="00D13641">
                            <w:r>
                              <w:rPr>
                                <w:rFonts w:ascii="Calibri" w:eastAsia="Calibri" w:hAnsi="Calibri" w:cs="Calibri"/>
                                <w:color w:val="405B32"/>
                                <w:w w:val="89"/>
                                <w:sz w:val="80"/>
                              </w:rPr>
                              <w:t>WHY</w:t>
                            </w:r>
                            <w:r>
                              <w:rPr>
                                <w:rFonts w:ascii="Calibri" w:eastAsia="Calibri" w:hAnsi="Calibri" w:cs="Calibri"/>
                                <w:color w:val="405B32"/>
                                <w:spacing w:val="-21"/>
                                <w:w w:val="89"/>
                                <w:sz w:val="80"/>
                              </w:rPr>
                              <w:t xml:space="preserve"> </w:t>
                            </w:r>
                            <w:r>
                              <w:rPr>
                                <w:rFonts w:ascii="Calibri" w:eastAsia="Calibri" w:hAnsi="Calibri" w:cs="Calibri"/>
                                <w:color w:val="405B32"/>
                                <w:w w:val="89"/>
                                <w:sz w:val="80"/>
                              </w:rPr>
                              <w:t>SCHOOL</w:t>
                            </w:r>
                          </w:p>
                        </w:txbxContent>
                      </v:textbox>
                    </v:rect>
                    <v:rect id="Rectangle 24" o:spid="_x0000_s1033" style="position:absolute;left:10380;top:17406;width:55108;height:6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116A6BA1" w14:textId="77777777" w:rsidR="00D13641" w:rsidRDefault="00D13641" w:rsidP="00D13641">
                            <w:r>
                              <w:rPr>
                                <w:rFonts w:ascii="Calibri" w:eastAsia="Calibri" w:hAnsi="Calibri" w:cs="Calibri"/>
                                <w:color w:val="405B32"/>
                                <w:w w:val="91"/>
                                <w:sz w:val="80"/>
                              </w:rPr>
                              <w:t>BELONGING</w:t>
                            </w:r>
                            <w:r>
                              <w:rPr>
                                <w:rFonts w:ascii="Calibri" w:eastAsia="Calibri" w:hAnsi="Calibri" w:cs="Calibri"/>
                                <w:color w:val="405B32"/>
                                <w:spacing w:val="-21"/>
                                <w:w w:val="91"/>
                                <w:sz w:val="80"/>
                              </w:rPr>
                              <w:t xml:space="preserve"> </w:t>
                            </w:r>
                            <w:r>
                              <w:rPr>
                                <w:rFonts w:ascii="Calibri" w:eastAsia="Calibri" w:hAnsi="Calibri" w:cs="Calibri"/>
                                <w:color w:val="405B32"/>
                                <w:w w:val="91"/>
                                <w:sz w:val="80"/>
                              </w:rPr>
                              <w:t>MATTERS</w:t>
                            </w:r>
                          </w:p>
                        </w:txbxContent>
                      </v:textbox>
                    </v:rect>
                    <w10:wrap type="topAndBottom" anchorx="page" anchory="page"/>
                  </v:group>
                </w:pict>
              </mc:Fallback>
            </mc:AlternateContent>
          </w:r>
          <w:r w:rsidR="00A530E7" w:rsidRPr="00404623">
            <w:rPr>
              <w:rFonts w:ascii="Seaford" w:hAnsi="Seaford"/>
              <w:noProof/>
            </w:rPr>
            <w:t xml:space="preserve"> </w:t>
          </w:r>
        </w:p>
        <w:p w14:paraId="5F6B1B54" w14:textId="1BF9A0A4" w:rsidR="00B7009D" w:rsidRPr="00404623" w:rsidRDefault="00B7009D" w:rsidP="00A530E7">
          <w:pPr>
            <w:spacing w:after="781"/>
            <w:rPr>
              <w:rFonts w:ascii="Seaford" w:eastAsia="Calibri" w:hAnsi="Seaford" w:cs="Calibri"/>
              <w:sz w:val="80"/>
            </w:rPr>
          </w:pPr>
        </w:p>
        <w:p w14:paraId="29B2C689" w14:textId="571E4A8B" w:rsidR="00D13641" w:rsidRPr="00404623" w:rsidRDefault="00D13641" w:rsidP="00D13641">
          <w:pPr>
            <w:spacing w:after="0"/>
            <w:ind w:left="8"/>
            <w:jc w:val="center"/>
            <w:rPr>
              <w:rFonts w:ascii="Seaford" w:hAnsi="Seaford"/>
            </w:rPr>
          </w:pPr>
        </w:p>
        <w:p w14:paraId="35DB52E1" w14:textId="5575A6A4" w:rsidR="00D13641" w:rsidRPr="00404623" w:rsidRDefault="006E6CB4">
          <w:pPr>
            <w:rPr>
              <w:rFonts w:ascii="Seaford" w:eastAsiaTheme="majorEastAsia" w:hAnsi="Seaford" w:cstheme="majorHAnsi"/>
              <w:b/>
              <w:bCs/>
              <w:color w:val="365F91" w:themeColor="accent1" w:themeShade="BF"/>
              <w:sz w:val="24"/>
              <w:szCs w:val="24"/>
            </w:rPr>
          </w:pPr>
        </w:p>
      </w:sdtContent>
    </w:sdt>
    <w:p w14:paraId="4B328FDA" w14:textId="18305137" w:rsidR="00CA7D67" w:rsidRPr="003D4B02" w:rsidRDefault="003D4B02" w:rsidP="003D4B02">
      <w:pPr>
        <w:pStyle w:val="Heading1"/>
        <w:jc w:val="center"/>
        <w:rPr>
          <w:rFonts w:ascii="Seaford" w:hAnsi="Seaford" w:cstheme="majorHAnsi"/>
          <w:color w:val="auto"/>
          <w:sz w:val="32"/>
          <w:szCs w:val="32"/>
        </w:rPr>
      </w:pPr>
      <w:bookmarkStart w:id="0" w:name="_Toc239670462"/>
      <w:r w:rsidRPr="003D4B02">
        <w:rPr>
          <w:rFonts w:ascii="Seaford" w:hAnsi="Seaford" w:cstheme="majorHAnsi"/>
          <w:color w:val="auto"/>
          <w:sz w:val="32"/>
          <w:szCs w:val="32"/>
        </w:rPr>
        <w:t>HAMMERSMITH &amp; FULHAM EDUCATIONAL PSYCHOLOGY SERVICE</w:t>
      </w:r>
      <w:bookmarkEnd w:id="0"/>
    </w:p>
    <w:p w14:paraId="1FE0999E" w14:textId="77777777" w:rsidR="003D4B02" w:rsidRPr="003D4B02" w:rsidRDefault="003D4B02" w:rsidP="003D4B02">
      <w:pPr>
        <w:jc w:val="center"/>
        <w:rPr>
          <w:sz w:val="32"/>
          <w:szCs w:val="32"/>
        </w:rPr>
      </w:pPr>
    </w:p>
    <w:p w14:paraId="772F9DBE" w14:textId="74C1D5C3" w:rsidR="008800B5" w:rsidRPr="000E3FF7" w:rsidRDefault="008F4440">
      <w:pPr>
        <w:pStyle w:val="Heading1"/>
        <w:rPr>
          <w:rFonts w:ascii="Seaford" w:hAnsi="Seaford" w:cstheme="majorHAnsi"/>
          <w:sz w:val="20"/>
          <w:szCs w:val="20"/>
        </w:rPr>
      </w:pPr>
      <w:bookmarkStart w:id="1" w:name="_Toc239670463"/>
      <w:r w:rsidRPr="000E3FF7">
        <w:rPr>
          <w:rFonts w:ascii="Seaford" w:hAnsi="Seaford" w:cstheme="majorHAnsi"/>
          <w:sz w:val="20"/>
          <w:szCs w:val="20"/>
        </w:rPr>
        <w:lastRenderedPageBreak/>
        <w:t>School Belonging Support Pack</w:t>
      </w:r>
      <w:bookmarkEnd w:id="1"/>
      <w:r w:rsidRPr="000E3FF7">
        <w:rPr>
          <w:rFonts w:ascii="Seaford" w:hAnsi="Seaford" w:cstheme="majorHAnsi"/>
          <w:sz w:val="20"/>
          <w:szCs w:val="20"/>
        </w:rPr>
        <w:t xml:space="preserve"> </w:t>
      </w:r>
    </w:p>
    <w:p w14:paraId="38C2F612" w14:textId="244DD698" w:rsidR="00D65F1C" w:rsidRPr="004B047D" w:rsidRDefault="00D41367">
      <w:pPr>
        <w:pStyle w:val="TOC1"/>
        <w:tabs>
          <w:tab w:val="right" w:leader="dot" w:pos="8630"/>
        </w:tabs>
        <w:rPr>
          <w:noProof/>
          <w:kern w:val="2"/>
          <w:sz w:val="18"/>
          <w:szCs w:val="18"/>
          <w:lang w:val="en-GB" w:eastAsia="en-GB"/>
          <w14:ligatures w14:val="standardContextual"/>
        </w:rPr>
      </w:pPr>
      <w:r w:rsidRPr="004B047D">
        <w:rPr>
          <w:rFonts w:ascii="Seaford" w:hAnsi="Seaford" w:cstheme="majorHAnsi"/>
          <w:sz w:val="18"/>
          <w:szCs w:val="18"/>
        </w:rPr>
        <w:fldChar w:fldCharType="begin"/>
      </w:r>
      <w:r w:rsidRPr="004B047D">
        <w:rPr>
          <w:rFonts w:ascii="Seaford" w:hAnsi="Seaford" w:cstheme="majorHAnsi"/>
          <w:sz w:val="18"/>
          <w:szCs w:val="18"/>
        </w:rPr>
        <w:instrText xml:space="preserve"> TOC \o "1-3" \h \z \u </w:instrText>
      </w:r>
      <w:r w:rsidRPr="004B047D">
        <w:rPr>
          <w:rFonts w:ascii="Seaford" w:hAnsi="Seaford" w:cstheme="majorHAnsi"/>
          <w:sz w:val="18"/>
          <w:szCs w:val="18"/>
        </w:rPr>
        <w:fldChar w:fldCharType="separate"/>
      </w:r>
    </w:p>
    <w:p w14:paraId="2A66E5A9" w14:textId="08F3E884" w:rsidR="00D65F1C" w:rsidRPr="004B047D" w:rsidRDefault="00D65F1C">
      <w:pPr>
        <w:pStyle w:val="TOC1"/>
        <w:tabs>
          <w:tab w:val="right" w:leader="dot" w:pos="8630"/>
        </w:tabs>
        <w:rPr>
          <w:noProof/>
          <w:kern w:val="2"/>
          <w:sz w:val="18"/>
          <w:szCs w:val="18"/>
          <w:lang w:val="en-GB" w:eastAsia="en-GB"/>
          <w14:ligatures w14:val="standardContextual"/>
        </w:rPr>
      </w:pPr>
      <w:hyperlink w:anchor="_Toc239670463" w:history="1">
        <w:r w:rsidRPr="004B047D">
          <w:rPr>
            <w:rStyle w:val="Hyperlink"/>
            <w:rFonts w:ascii="Seaford" w:hAnsi="Seaford" w:cstheme="majorHAnsi"/>
            <w:noProof/>
            <w:sz w:val="18"/>
            <w:szCs w:val="18"/>
          </w:rPr>
          <w:t>School Belonging Support Pack</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_Toc239670463 \h </w:instrText>
        </w:r>
        <w:r w:rsidRPr="004B047D">
          <w:rPr>
            <w:noProof/>
            <w:webHidden/>
            <w:sz w:val="18"/>
            <w:szCs w:val="18"/>
          </w:rPr>
        </w:r>
        <w:r w:rsidRPr="004B047D">
          <w:rPr>
            <w:noProof/>
            <w:webHidden/>
            <w:sz w:val="18"/>
            <w:szCs w:val="18"/>
          </w:rPr>
          <w:fldChar w:fldCharType="separate"/>
        </w:r>
        <w:r w:rsidR="000E6145">
          <w:rPr>
            <w:noProof/>
            <w:webHidden/>
            <w:sz w:val="18"/>
            <w:szCs w:val="18"/>
          </w:rPr>
          <w:t>1</w:t>
        </w:r>
        <w:r w:rsidRPr="004B047D">
          <w:rPr>
            <w:noProof/>
            <w:webHidden/>
            <w:sz w:val="18"/>
            <w:szCs w:val="18"/>
          </w:rPr>
          <w:fldChar w:fldCharType="end"/>
        </w:r>
      </w:hyperlink>
    </w:p>
    <w:p w14:paraId="4885450F" w14:textId="33E61FAF" w:rsidR="00D65F1C" w:rsidRPr="004B047D" w:rsidRDefault="00D65F1C">
      <w:pPr>
        <w:pStyle w:val="TOC1"/>
        <w:tabs>
          <w:tab w:val="left" w:pos="440"/>
          <w:tab w:val="right" w:leader="dot" w:pos="8630"/>
        </w:tabs>
        <w:rPr>
          <w:noProof/>
          <w:kern w:val="2"/>
          <w:sz w:val="18"/>
          <w:szCs w:val="18"/>
          <w:lang w:val="en-GB" w:eastAsia="en-GB"/>
          <w14:ligatures w14:val="standardContextual"/>
        </w:rPr>
      </w:pPr>
      <w:hyperlink w:anchor="_Toc239670464" w:history="1">
        <w:r w:rsidRPr="004B047D">
          <w:rPr>
            <w:rStyle w:val="Hyperlink"/>
            <w:rFonts w:ascii="Seaford" w:hAnsi="Seaford" w:cstheme="majorHAnsi"/>
            <w:noProof/>
            <w:sz w:val="18"/>
            <w:szCs w:val="18"/>
          </w:rPr>
          <w:t>1.</w:t>
        </w:r>
        <w:r w:rsidRPr="004B047D">
          <w:rPr>
            <w:noProof/>
            <w:kern w:val="2"/>
            <w:sz w:val="18"/>
            <w:szCs w:val="18"/>
            <w:lang w:val="en-GB" w:eastAsia="en-GB"/>
            <w14:ligatures w14:val="standardContextual"/>
          </w:rPr>
          <w:tab/>
        </w:r>
        <w:r w:rsidRPr="004B047D">
          <w:rPr>
            <w:rStyle w:val="Hyperlink"/>
            <w:rFonts w:ascii="Seaford" w:hAnsi="Seaford" w:cstheme="majorHAnsi"/>
            <w:noProof/>
            <w:sz w:val="18"/>
            <w:szCs w:val="18"/>
          </w:rPr>
          <w:t>Introduction</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_Toc239670464 \h </w:instrText>
        </w:r>
        <w:r w:rsidRPr="004B047D">
          <w:rPr>
            <w:noProof/>
            <w:webHidden/>
            <w:sz w:val="18"/>
            <w:szCs w:val="18"/>
          </w:rPr>
        </w:r>
        <w:r w:rsidRPr="004B047D">
          <w:rPr>
            <w:noProof/>
            <w:webHidden/>
            <w:sz w:val="18"/>
            <w:szCs w:val="18"/>
          </w:rPr>
          <w:fldChar w:fldCharType="separate"/>
        </w:r>
        <w:r w:rsidR="000E6145">
          <w:rPr>
            <w:noProof/>
            <w:webHidden/>
            <w:sz w:val="18"/>
            <w:szCs w:val="18"/>
          </w:rPr>
          <w:t>2</w:t>
        </w:r>
        <w:r w:rsidRPr="004B047D">
          <w:rPr>
            <w:noProof/>
            <w:webHidden/>
            <w:sz w:val="18"/>
            <w:szCs w:val="18"/>
          </w:rPr>
          <w:fldChar w:fldCharType="end"/>
        </w:r>
      </w:hyperlink>
    </w:p>
    <w:p w14:paraId="3BB720EC" w14:textId="2E703451" w:rsidR="00D65F1C" w:rsidRPr="004B047D" w:rsidRDefault="00D65F1C">
      <w:pPr>
        <w:pStyle w:val="TOC1"/>
        <w:tabs>
          <w:tab w:val="left" w:pos="440"/>
          <w:tab w:val="right" w:leader="dot" w:pos="8630"/>
        </w:tabs>
        <w:rPr>
          <w:noProof/>
          <w:kern w:val="2"/>
          <w:sz w:val="18"/>
          <w:szCs w:val="18"/>
          <w:lang w:val="en-GB" w:eastAsia="en-GB"/>
          <w14:ligatures w14:val="standardContextual"/>
        </w:rPr>
      </w:pPr>
      <w:hyperlink w:anchor="_Toc239670465" w:history="1">
        <w:r w:rsidRPr="004B047D">
          <w:rPr>
            <w:rStyle w:val="Hyperlink"/>
            <w:rFonts w:ascii="Seaford" w:hAnsi="Seaford" w:cstheme="majorHAnsi"/>
            <w:noProof/>
            <w:sz w:val="18"/>
            <w:szCs w:val="18"/>
          </w:rPr>
          <w:t>2.</w:t>
        </w:r>
        <w:r w:rsidRPr="004B047D">
          <w:rPr>
            <w:noProof/>
            <w:kern w:val="2"/>
            <w:sz w:val="18"/>
            <w:szCs w:val="18"/>
            <w:lang w:val="en-GB" w:eastAsia="en-GB"/>
            <w14:ligatures w14:val="standardContextual"/>
          </w:rPr>
          <w:tab/>
        </w:r>
        <w:r w:rsidRPr="004B047D">
          <w:rPr>
            <w:rStyle w:val="Hyperlink"/>
            <w:rFonts w:ascii="Seaford" w:hAnsi="Seaford" w:cstheme="majorHAnsi"/>
            <w:noProof/>
            <w:sz w:val="18"/>
            <w:szCs w:val="18"/>
          </w:rPr>
          <w:t>Theoretical Foundations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_Toc239670465 \h </w:instrText>
        </w:r>
        <w:r w:rsidRPr="004B047D">
          <w:rPr>
            <w:noProof/>
            <w:webHidden/>
            <w:sz w:val="18"/>
            <w:szCs w:val="18"/>
          </w:rPr>
        </w:r>
        <w:r w:rsidRPr="004B047D">
          <w:rPr>
            <w:noProof/>
            <w:webHidden/>
            <w:sz w:val="18"/>
            <w:szCs w:val="18"/>
          </w:rPr>
          <w:fldChar w:fldCharType="separate"/>
        </w:r>
        <w:r w:rsidR="000E6145">
          <w:rPr>
            <w:noProof/>
            <w:webHidden/>
            <w:sz w:val="18"/>
            <w:szCs w:val="18"/>
          </w:rPr>
          <w:t>3</w:t>
        </w:r>
        <w:r w:rsidRPr="004B047D">
          <w:rPr>
            <w:noProof/>
            <w:webHidden/>
            <w:sz w:val="18"/>
            <w:szCs w:val="18"/>
          </w:rPr>
          <w:fldChar w:fldCharType="end"/>
        </w:r>
      </w:hyperlink>
    </w:p>
    <w:p w14:paraId="7B76DAB8" w14:textId="5B4C9218" w:rsidR="00D65F1C" w:rsidRPr="004B047D" w:rsidRDefault="00D65F1C">
      <w:pPr>
        <w:pStyle w:val="TOC1"/>
        <w:tabs>
          <w:tab w:val="left" w:pos="440"/>
          <w:tab w:val="right" w:leader="dot" w:pos="8630"/>
        </w:tabs>
        <w:rPr>
          <w:noProof/>
          <w:kern w:val="2"/>
          <w:sz w:val="18"/>
          <w:szCs w:val="18"/>
          <w:lang w:val="en-GB" w:eastAsia="en-GB"/>
          <w14:ligatures w14:val="standardContextual"/>
        </w:rPr>
      </w:pPr>
      <w:hyperlink w:anchor="_Toc239670466" w:history="1">
        <w:r w:rsidRPr="004B047D">
          <w:rPr>
            <w:rStyle w:val="Hyperlink"/>
            <w:rFonts w:ascii="Seaford" w:eastAsia="Cambria" w:hAnsi="Seaford" w:cs="Cambria"/>
            <w:noProof/>
            <w:sz w:val="18"/>
            <w:szCs w:val="18"/>
          </w:rPr>
          <w:t>3.</w:t>
        </w:r>
        <w:r w:rsidRPr="004B047D">
          <w:rPr>
            <w:noProof/>
            <w:kern w:val="2"/>
            <w:sz w:val="18"/>
            <w:szCs w:val="18"/>
            <w:lang w:val="en-GB" w:eastAsia="en-GB"/>
            <w14:ligatures w14:val="standardContextual"/>
          </w:rPr>
          <w:tab/>
        </w:r>
        <w:r w:rsidRPr="004B047D">
          <w:rPr>
            <w:rStyle w:val="Hyperlink"/>
            <w:rFonts w:ascii="Seaford" w:eastAsia="Cambria" w:hAnsi="Seaford" w:cs="Cambria"/>
            <w:noProof/>
            <w:sz w:val="18"/>
            <w:szCs w:val="18"/>
          </w:rPr>
          <w:t>Why School Belonging Matters: A Summary of Research Evidence</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_Toc239670466 \h </w:instrText>
        </w:r>
        <w:r w:rsidRPr="004B047D">
          <w:rPr>
            <w:noProof/>
            <w:webHidden/>
            <w:sz w:val="18"/>
            <w:szCs w:val="18"/>
          </w:rPr>
        </w:r>
        <w:r w:rsidRPr="004B047D">
          <w:rPr>
            <w:noProof/>
            <w:webHidden/>
            <w:sz w:val="18"/>
            <w:szCs w:val="18"/>
          </w:rPr>
          <w:fldChar w:fldCharType="separate"/>
        </w:r>
        <w:r w:rsidR="000E6145">
          <w:rPr>
            <w:noProof/>
            <w:webHidden/>
            <w:sz w:val="18"/>
            <w:szCs w:val="18"/>
          </w:rPr>
          <w:t>7</w:t>
        </w:r>
        <w:r w:rsidRPr="004B047D">
          <w:rPr>
            <w:noProof/>
            <w:webHidden/>
            <w:sz w:val="18"/>
            <w:szCs w:val="18"/>
          </w:rPr>
          <w:fldChar w:fldCharType="end"/>
        </w:r>
      </w:hyperlink>
    </w:p>
    <w:p w14:paraId="19B1AEA5" w14:textId="3AF8970F"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67" w:history="1">
        <w:r w:rsidRPr="004B047D">
          <w:rPr>
            <w:rStyle w:val="Hyperlink"/>
            <w:rFonts w:ascii="Seaford" w:hAnsi="Seaford"/>
            <w:noProof/>
            <w:sz w:val="18"/>
            <w:szCs w:val="18"/>
            <w:lang w:val="en-GB"/>
          </w:rPr>
          <w:t>Academic Development &amp; Outcomes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_Toc239670467 \h </w:instrText>
        </w:r>
        <w:r w:rsidRPr="004B047D">
          <w:rPr>
            <w:noProof/>
            <w:webHidden/>
            <w:sz w:val="18"/>
            <w:szCs w:val="18"/>
          </w:rPr>
        </w:r>
        <w:r w:rsidRPr="004B047D">
          <w:rPr>
            <w:noProof/>
            <w:webHidden/>
            <w:sz w:val="18"/>
            <w:szCs w:val="18"/>
          </w:rPr>
          <w:fldChar w:fldCharType="separate"/>
        </w:r>
        <w:r w:rsidR="000E6145">
          <w:rPr>
            <w:noProof/>
            <w:webHidden/>
            <w:sz w:val="18"/>
            <w:szCs w:val="18"/>
          </w:rPr>
          <w:t>7</w:t>
        </w:r>
        <w:r w:rsidRPr="004B047D">
          <w:rPr>
            <w:noProof/>
            <w:webHidden/>
            <w:sz w:val="18"/>
            <w:szCs w:val="18"/>
          </w:rPr>
          <w:fldChar w:fldCharType="end"/>
        </w:r>
      </w:hyperlink>
    </w:p>
    <w:p w14:paraId="5085B5B3" w14:textId="5AE6EF3D"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68" w:history="1">
        <w:r w:rsidRPr="004B047D">
          <w:rPr>
            <w:rStyle w:val="Hyperlink"/>
            <w:rFonts w:ascii="Seaford" w:hAnsi="Seaford"/>
            <w:noProof/>
            <w:sz w:val="18"/>
            <w:szCs w:val="18"/>
            <w:lang w:val="en-GB"/>
          </w:rPr>
          <w:t>School Belonging as a Protective Factor</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_Toc239670468 \h </w:instrText>
        </w:r>
        <w:r w:rsidRPr="004B047D">
          <w:rPr>
            <w:noProof/>
            <w:webHidden/>
            <w:sz w:val="18"/>
            <w:szCs w:val="18"/>
          </w:rPr>
        </w:r>
        <w:r w:rsidRPr="004B047D">
          <w:rPr>
            <w:noProof/>
            <w:webHidden/>
            <w:sz w:val="18"/>
            <w:szCs w:val="18"/>
          </w:rPr>
          <w:fldChar w:fldCharType="separate"/>
        </w:r>
        <w:r w:rsidR="000E6145">
          <w:rPr>
            <w:noProof/>
            <w:webHidden/>
            <w:sz w:val="18"/>
            <w:szCs w:val="18"/>
          </w:rPr>
          <w:t>8</w:t>
        </w:r>
        <w:r w:rsidRPr="004B047D">
          <w:rPr>
            <w:noProof/>
            <w:webHidden/>
            <w:sz w:val="18"/>
            <w:szCs w:val="18"/>
          </w:rPr>
          <w:fldChar w:fldCharType="end"/>
        </w:r>
      </w:hyperlink>
    </w:p>
    <w:p w14:paraId="349871FD" w14:textId="011FD23A"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69" w:history="1">
        <w:r w:rsidRPr="004B047D">
          <w:rPr>
            <w:rStyle w:val="Hyperlink"/>
            <w:rFonts w:ascii="Seaford" w:hAnsi="Seaford"/>
            <w:noProof/>
            <w:sz w:val="18"/>
            <w:szCs w:val="18"/>
            <w:lang w:val="en-GB"/>
          </w:rPr>
          <w:t>Physical Health &amp; Risk Reduction</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_Toc239670469 \h </w:instrText>
        </w:r>
        <w:r w:rsidRPr="004B047D">
          <w:rPr>
            <w:noProof/>
            <w:webHidden/>
            <w:sz w:val="18"/>
            <w:szCs w:val="18"/>
          </w:rPr>
        </w:r>
        <w:r w:rsidRPr="004B047D">
          <w:rPr>
            <w:noProof/>
            <w:webHidden/>
            <w:sz w:val="18"/>
            <w:szCs w:val="18"/>
          </w:rPr>
          <w:fldChar w:fldCharType="separate"/>
        </w:r>
        <w:r w:rsidR="000E6145">
          <w:rPr>
            <w:noProof/>
            <w:webHidden/>
            <w:sz w:val="18"/>
            <w:szCs w:val="18"/>
          </w:rPr>
          <w:t>8</w:t>
        </w:r>
        <w:r w:rsidRPr="004B047D">
          <w:rPr>
            <w:noProof/>
            <w:webHidden/>
            <w:sz w:val="18"/>
            <w:szCs w:val="18"/>
          </w:rPr>
          <w:fldChar w:fldCharType="end"/>
        </w:r>
      </w:hyperlink>
    </w:p>
    <w:p w14:paraId="5759C835" w14:textId="52398601"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0" w:history="1">
        <w:r w:rsidRPr="004B047D">
          <w:rPr>
            <w:rStyle w:val="Hyperlink"/>
            <w:rFonts w:ascii="Seaford" w:hAnsi="Seaford"/>
            <w:noProof/>
            <w:sz w:val="18"/>
            <w:szCs w:val="18"/>
            <w:lang w:val="en-GB"/>
          </w:rPr>
          <w:t>Belonging and attendance</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_Toc239670470 \h </w:instrText>
        </w:r>
        <w:r w:rsidRPr="004B047D">
          <w:rPr>
            <w:noProof/>
            <w:webHidden/>
            <w:sz w:val="18"/>
            <w:szCs w:val="18"/>
          </w:rPr>
        </w:r>
        <w:r w:rsidRPr="004B047D">
          <w:rPr>
            <w:noProof/>
            <w:webHidden/>
            <w:sz w:val="18"/>
            <w:szCs w:val="18"/>
          </w:rPr>
          <w:fldChar w:fldCharType="separate"/>
        </w:r>
        <w:r w:rsidR="000E6145">
          <w:rPr>
            <w:noProof/>
            <w:webHidden/>
            <w:sz w:val="18"/>
            <w:szCs w:val="18"/>
          </w:rPr>
          <w:t>8</w:t>
        </w:r>
        <w:r w:rsidRPr="004B047D">
          <w:rPr>
            <w:noProof/>
            <w:webHidden/>
            <w:sz w:val="18"/>
            <w:szCs w:val="18"/>
          </w:rPr>
          <w:fldChar w:fldCharType="end"/>
        </w:r>
      </w:hyperlink>
    </w:p>
    <w:p w14:paraId="2A62762B" w14:textId="74DA8F92"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1" w:history="1">
        <w:r w:rsidRPr="004B047D">
          <w:rPr>
            <w:rStyle w:val="Hyperlink"/>
            <w:rFonts w:ascii="Seaford" w:hAnsi="Seaford"/>
            <w:noProof/>
            <w:sz w:val="18"/>
            <w:szCs w:val="18"/>
            <w:lang w:val="en-GB"/>
          </w:rPr>
          <w:t>Staff Wellbeing and Retention: The Ripple Effect of Belonging</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_Toc239670471 \h </w:instrText>
        </w:r>
        <w:r w:rsidRPr="004B047D">
          <w:rPr>
            <w:noProof/>
            <w:webHidden/>
            <w:sz w:val="18"/>
            <w:szCs w:val="18"/>
          </w:rPr>
        </w:r>
        <w:r w:rsidRPr="004B047D">
          <w:rPr>
            <w:noProof/>
            <w:webHidden/>
            <w:sz w:val="18"/>
            <w:szCs w:val="18"/>
          </w:rPr>
          <w:fldChar w:fldCharType="separate"/>
        </w:r>
        <w:r w:rsidR="000E6145">
          <w:rPr>
            <w:noProof/>
            <w:webHidden/>
            <w:sz w:val="18"/>
            <w:szCs w:val="18"/>
          </w:rPr>
          <w:t>9</w:t>
        </w:r>
        <w:r w:rsidRPr="004B047D">
          <w:rPr>
            <w:noProof/>
            <w:webHidden/>
            <w:sz w:val="18"/>
            <w:szCs w:val="18"/>
          </w:rPr>
          <w:fldChar w:fldCharType="end"/>
        </w:r>
      </w:hyperlink>
    </w:p>
    <w:p w14:paraId="1E5C0C17" w14:textId="726641C5"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2" w:history="1">
        <w:r w:rsidRPr="004B047D">
          <w:rPr>
            <w:rStyle w:val="Hyperlink"/>
            <w:rFonts w:ascii="Seaford" w:hAnsi="Seaford"/>
            <w:noProof/>
            <w:sz w:val="18"/>
            <w:szCs w:val="18"/>
            <w:lang w:val="en-GB"/>
          </w:rPr>
          <w:t>Broader Social Impact</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_Toc239670472 \h </w:instrText>
        </w:r>
        <w:r w:rsidRPr="004B047D">
          <w:rPr>
            <w:noProof/>
            <w:webHidden/>
            <w:sz w:val="18"/>
            <w:szCs w:val="18"/>
          </w:rPr>
        </w:r>
        <w:r w:rsidRPr="004B047D">
          <w:rPr>
            <w:noProof/>
            <w:webHidden/>
            <w:sz w:val="18"/>
            <w:szCs w:val="18"/>
          </w:rPr>
          <w:fldChar w:fldCharType="separate"/>
        </w:r>
        <w:r w:rsidR="000E6145">
          <w:rPr>
            <w:noProof/>
            <w:webHidden/>
            <w:sz w:val="18"/>
            <w:szCs w:val="18"/>
          </w:rPr>
          <w:t>10</w:t>
        </w:r>
        <w:r w:rsidRPr="004B047D">
          <w:rPr>
            <w:noProof/>
            <w:webHidden/>
            <w:sz w:val="18"/>
            <w:szCs w:val="18"/>
          </w:rPr>
          <w:fldChar w:fldCharType="end"/>
        </w:r>
      </w:hyperlink>
    </w:p>
    <w:p w14:paraId="4C48983C" w14:textId="244D072B"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3" w:history="1">
        <w:r w:rsidRPr="004B047D">
          <w:rPr>
            <w:rStyle w:val="Hyperlink"/>
            <w:rFonts w:ascii="Seaford" w:hAnsi="Seaford"/>
            <w:noProof/>
            <w:sz w:val="18"/>
            <w:szCs w:val="18"/>
          </w:rPr>
          <w:t>Notable Researchers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_Toc239670473 \h </w:instrText>
        </w:r>
        <w:r w:rsidRPr="004B047D">
          <w:rPr>
            <w:noProof/>
            <w:webHidden/>
            <w:sz w:val="18"/>
            <w:szCs w:val="18"/>
          </w:rPr>
        </w:r>
        <w:r w:rsidRPr="004B047D">
          <w:rPr>
            <w:noProof/>
            <w:webHidden/>
            <w:sz w:val="18"/>
            <w:szCs w:val="18"/>
          </w:rPr>
          <w:fldChar w:fldCharType="separate"/>
        </w:r>
        <w:r w:rsidR="000E6145">
          <w:rPr>
            <w:noProof/>
            <w:webHidden/>
            <w:sz w:val="18"/>
            <w:szCs w:val="18"/>
          </w:rPr>
          <w:t>10</w:t>
        </w:r>
        <w:r w:rsidRPr="004B047D">
          <w:rPr>
            <w:noProof/>
            <w:webHidden/>
            <w:sz w:val="18"/>
            <w:szCs w:val="18"/>
          </w:rPr>
          <w:fldChar w:fldCharType="end"/>
        </w:r>
      </w:hyperlink>
    </w:p>
    <w:p w14:paraId="18051363" w14:textId="08F2437C" w:rsidR="00D65F1C" w:rsidRPr="004B047D" w:rsidRDefault="00D65F1C">
      <w:pPr>
        <w:pStyle w:val="TOC1"/>
        <w:tabs>
          <w:tab w:val="left" w:pos="440"/>
          <w:tab w:val="right" w:leader="dot" w:pos="8630"/>
        </w:tabs>
        <w:rPr>
          <w:noProof/>
          <w:kern w:val="2"/>
          <w:sz w:val="18"/>
          <w:szCs w:val="18"/>
          <w:lang w:val="en-GB" w:eastAsia="en-GB"/>
          <w14:ligatures w14:val="standardContextual"/>
        </w:rPr>
      </w:pPr>
      <w:hyperlink w:anchor="_Toc239670474" w:history="1">
        <w:r w:rsidRPr="004B047D">
          <w:rPr>
            <w:rStyle w:val="Hyperlink"/>
            <w:rFonts w:ascii="Seaford" w:hAnsi="Seaford"/>
            <w:noProof/>
            <w:sz w:val="18"/>
            <w:szCs w:val="18"/>
          </w:rPr>
          <w:t>4.</w:t>
        </w:r>
        <w:r w:rsidRPr="004B047D">
          <w:rPr>
            <w:noProof/>
            <w:kern w:val="2"/>
            <w:sz w:val="18"/>
            <w:szCs w:val="18"/>
            <w:lang w:val="en-GB" w:eastAsia="en-GB"/>
            <w14:ligatures w14:val="standardContextual"/>
          </w:rPr>
          <w:tab/>
        </w:r>
        <w:r w:rsidRPr="004B047D">
          <w:rPr>
            <w:rStyle w:val="Hyperlink"/>
            <w:rFonts w:ascii="Seaford" w:hAnsi="Seaford" w:cstheme="majorHAnsi"/>
            <w:noProof/>
            <w:sz w:val="18"/>
            <w:szCs w:val="18"/>
          </w:rPr>
          <w:t xml:space="preserve">Whole School Strategies: </w:t>
        </w:r>
        <w:r w:rsidRPr="004B047D">
          <w:rPr>
            <w:rStyle w:val="Hyperlink"/>
            <w:rFonts w:ascii="Seaford" w:hAnsi="Seaford"/>
            <w:noProof/>
            <w:sz w:val="18"/>
            <w:szCs w:val="18"/>
          </w:rPr>
          <w:t>Creating a Culture of Belonging</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_Toc239670474 \h </w:instrText>
        </w:r>
        <w:r w:rsidRPr="004B047D">
          <w:rPr>
            <w:noProof/>
            <w:webHidden/>
            <w:sz w:val="18"/>
            <w:szCs w:val="18"/>
          </w:rPr>
        </w:r>
        <w:r w:rsidRPr="004B047D">
          <w:rPr>
            <w:noProof/>
            <w:webHidden/>
            <w:sz w:val="18"/>
            <w:szCs w:val="18"/>
          </w:rPr>
          <w:fldChar w:fldCharType="separate"/>
        </w:r>
        <w:r w:rsidR="000E6145">
          <w:rPr>
            <w:noProof/>
            <w:webHidden/>
            <w:sz w:val="18"/>
            <w:szCs w:val="18"/>
          </w:rPr>
          <w:t>11</w:t>
        </w:r>
        <w:r w:rsidRPr="004B047D">
          <w:rPr>
            <w:noProof/>
            <w:webHidden/>
            <w:sz w:val="18"/>
            <w:szCs w:val="18"/>
          </w:rPr>
          <w:fldChar w:fldCharType="end"/>
        </w:r>
      </w:hyperlink>
    </w:p>
    <w:p w14:paraId="15C56B6C" w14:textId="689F4FD6"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5" w:history="1">
        <w:r w:rsidRPr="004B047D">
          <w:rPr>
            <w:rStyle w:val="Hyperlink"/>
            <w:rFonts w:ascii="Seaford" w:hAnsi="Seaford"/>
            <w:noProof/>
            <w:sz w:val="18"/>
            <w:szCs w:val="18"/>
            <w:lang w:val="en-GB"/>
          </w:rPr>
          <w:t>Encourage Positive Relationships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_Toc239670475 \h </w:instrText>
        </w:r>
        <w:r w:rsidRPr="004B047D">
          <w:rPr>
            <w:noProof/>
            <w:webHidden/>
            <w:sz w:val="18"/>
            <w:szCs w:val="18"/>
          </w:rPr>
        </w:r>
        <w:r w:rsidRPr="004B047D">
          <w:rPr>
            <w:noProof/>
            <w:webHidden/>
            <w:sz w:val="18"/>
            <w:szCs w:val="18"/>
          </w:rPr>
          <w:fldChar w:fldCharType="separate"/>
        </w:r>
        <w:r w:rsidR="000E6145">
          <w:rPr>
            <w:noProof/>
            <w:webHidden/>
            <w:sz w:val="18"/>
            <w:szCs w:val="18"/>
          </w:rPr>
          <w:t>12</w:t>
        </w:r>
        <w:r w:rsidRPr="004B047D">
          <w:rPr>
            <w:noProof/>
            <w:webHidden/>
            <w:sz w:val="18"/>
            <w:szCs w:val="18"/>
          </w:rPr>
          <w:fldChar w:fldCharType="end"/>
        </w:r>
      </w:hyperlink>
    </w:p>
    <w:p w14:paraId="51B6D963" w14:textId="0D278CC1"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6" w:history="1">
        <w:r w:rsidRPr="004B047D">
          <w:rPr>
            <w:rStyle w:val="Hyperlink"/>
            <w:rFonts w:ascii="Seaford" w:hAnsi="Seaford"/>
            <w:noProof/>
            <w:sz w:val="18"/>
            <w:szCs w:val="18"/>
            <w:lang w:val="en-GB"/>
          </w:rPr>
          <w:t>Foster a Positive School Climate</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_Toc239670476 \h </w:instrText>
        </w:r>
        <w:r w:rsidRPr="004B047D">
          <w:rPr>
            <w:noProof/>
            <w:webHidden/>
            <w:sz w:val="18"/>
            <w:szCs w:val="18"/>
          </w:rPr>
        </w:r>
        <w:r w:rsidRPr="004B047D">
          <w:rPr>
            <w:noProof/>
            <w:webHidden/>
            <w:sz w:val="18"/>
            <w:szCs w:val="18"/>
          </w:rPr>
          <w:fldChar w:fldCharType="separate"/>
        </w:r>
        <w:r w:rsidR="000E6145">
          <w:rPr>
            <w:noProof/>
            <w:webHidden/>
            <w:sz w:val="18"/>
            <w:szCs w:val="18"/>
          </w:rPr>
          <w:t>12</w:t>
        </w:r>
        <w:r w:rsidRPr="004B047D">
          <w:rPr>
            <w:noProof/>
            <w:webHidden/>
            <w:sz w:val="18"/>
            <w:szCs w:val="18"/>
          </w:rPr>
          <w:fldChar w:fldCharType="end"/>
        </w:r>
      </w:hyperlink>
    </w:p>
    <w:p w14:paraId="6EBE8BEB" w14:textId="65679166"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7" w:history="1">
        <w:r w:rsidRPr="004B047D">
          <w:rPr>
            <w:rStyle w:val="Hyperlink"/>
            <w:rFonts w:ascii="Seaford" w:hAnsi="Seaford"/>
            <w:noProof/>
            <w:sz w:val="18"/>
            <w:szCs w:val="18"/>
            <w:lang w:val="en-GB"/>
          </w:rPr>
          <w:t>Value Learning</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_Toc239670477 \h </w:instrText>
        </w:r>
        <w:r w:rsidRPr="004B047D">
          <w:rPr>
            <w:noProof/>
            <w:webHidden/>
            <w:sz w:val="18"/>
            <w:szCs w:val="18"/>
          </w:rPr>
        </w:r>
        <w:r w:rsidRPr="004B047D">
          <w:rPr>
            <w:noProof/>
            <w:webHidden/>
            <w:sz w:val="18"/>
            <w:szCs w:val="18"/>
          </w:rPr>
          <w:fldChar w:fldCharType="separate"/>
        </w:r>
        <w:r w:rsidR="000E6145">
          <w:rPr>
            <w:noProof/>
            <w:webHidden/>
            <w:sz w:val="18"/>
            <w:szCs w:val="18"/>
          </w:rPr>
          <w:t>13</w:t>
        </w:r>
        <w:r w:rsidRPr="004B047D">
          <w:rPr>
            <w:noProof/>
            <w:webHidden/>
            <w:sz w:val="18"/>
            <w:szCs w:val="18"/>
          </w:rPr>
          <w:fldChar w:fldCharType="end"/>
        </w:r>
      </w:hyperlink>
    </w:p>
    <w:p w14:paraId="1F0AB839" w14:textId="4942BF55"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8" w:history="1">
        <w:r w:rsidRPr="004B047D">
          <w:rPr>
            <w:rStyle w:val="Hyperlink"/>
            <w:rFonts w:ascii="Seaford" w:hAnsi="Seaford"/>
            <w:noProof/>
            <w:sz w:val="18"/>
            <w:szCs w:val="18"/>
            <w:lang w:val="en-GB"/>
          </w:rPr>
          <w:t>Proactively Support Mental Health</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_Toc239670478 \h </w:instrText>
        </w:r>
        <w:r w:rsidRPr="004B047D">
          <w:rPr>
            <w:noProof/>
            <w:webHidden/>
            <w:sz w:val="18"/>
            <w:szCs w:val="18"/>
          </w:rPr>
        </w:r>
        <w:r w:rsidRPr="004B047D">
          <w:rPr>
            <w:noProof/>
            <w:webHidden/>
            <w:sz w:val="18"/>
            <w:szCs w:val="18"/>
          </w:rPr>
          <w:fldChar w:fldCharType="separate"/>
        </w:r>
        <w:r w:rsidR="000E6145">
          <w:rPr>
            <w:noProof/>
            <w:webHidden/>
            <w:sz w:val="18"/>
            <w:szCs w:val="18"/>
          </w:rPr>
          <w:t>13</w:t>
        </w:r>
        <w:r w:rsidRPr="004B047D">
          <w:rPr>
            <w:noProof/>
            <w:webHidden/>
            <w:sz w:val="18"/>
            <w:szCs w:val="18"/>
          </w:rPr>
          <w:fldChar w:fldCharType="end"/>
        </w:r>
      </w:hyperlink>
    </w:p>
    <w:p w14:paraId="794A344D" w14:textId="5BDA3E34"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79" w:history="1">
        <w:r w:rsidRPr="004B047D">
          <w:rPr>
            <w:rStyle w:val="Hyperlink"/>
            <w:rFonts w:ascii="Seaford" w:hAnsi="Seaford"/>
            <w:noProof/>
            <w:sz w:val="18"/>
            <w:szCs w:val="18"/>
            <w:lang w:val="en-GB"/>
          </w:rPr>
          <w:t>Engage Parents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_Toc239670479 \h </w:instrText>
        </w:r>
        <w:r w:rsidRPr="004B047D">
          <w:rPr>
            <w:noProof/>
            <w:webHidden/>
            <w:sz w:val="18"/>
            <w:szCs w:val="18"/>
          </w:rPr>
        </w:r>
        <w:r w:rsidRPr="004B047D">
          <w:rPr>
            <w:noProof/>
            <w:webHidden/>
            <w:sz w:val="18"/>
            <w:szCs w:val="18"/>
          </w:rPr>
          <w:fldChar w:fldCharType="separate"/>
        </w:r>
        <w:r w:rsidR="000E6145">
          <w:rPr>
            <w:noProof/>
            <w:webHidden/>
            <w:sz w:val="18"/>
            <w:szCs w:val="18"/>
          </w:rPr>
          <w:t>13</w:t>
        </w:r>
        <w:r w:rsidRPr="004B047D">
          <w:rPr>
            <w:noProof/>
            <w:webHidden/>
            <w:sz w:val="18"/>
            <w:szCs w:val="18"/>
          </w:rPr>
          <w:fldChar w:fldCharType="end"/>
        </w:r>
      </w:hyperlink>
    </w:p>
    <w:p w14:paraId="2EC566C2" w14:textId="5C74D5CE"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80" w:history="1">
        <w:r w:rsidRPr="004B047D">
          <w:rPr>
            <w:rStyle w:val="Hyperlink"/>
            <w:noProof/>
            <w:sz w:val="18"/>
            <w:szCs w:val="18"/>
            <w:lang w:val="en-GB"/>
          </w:rPr>
          <w:t>Promote Equity, Inclusion and Representation</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_Toc239670480 \h </w:instrText>
        </w:r>
        <w:r w:rsidRPr="004B047D">
          <w:rPr>
            <w:noProof/>
            <w:webHidden/>
            <w:sz w:val="18"/>
            <w:szCs w:val="18"/>
          </w:rPr>
        </w:r>
        <w:r w:rsidRPr="004B047D">
          <w:rPr>
            <w:noProof/>
            <w:webHidden/>
            <w:sz w:val="18"/>
            <w:szCs w:val="18"/>
          </w:rPr>
          <w:fldChar w:fldCharType="separate"/>
        </w:r>
        <w:r w:rsidR="000E6145">
          <w:rPr>
            <w:noProof/>
            <w:webHidden/>
            <w:sz w:val="18"/>
            <w:szCs w:val="18"/>
          </w:rPr>
          <w:t>13</w:t>
        </w:r>
        <w:r w:rsidRPr="004B047D">
          <w:rPr>
            <w:noProof/>
            <w:webHidden/>
            <w:sz w:val="18"/>
            <w:szCs w:val="18"/>
          </w:rPr>
          <w:fldChar w:fldCharType="end"/>
        </w:r>
      </w:hyperlink>
    </w:p>
    <w:p w14:paraId="6603F2D2" w14:textId="3102164E"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81" w:history="1">
        <w:r w:rsidRPr="004B047D">
          <w:rPr>
            <w:rStyle w:val="Hyperlink"/>
            <w:noProof/>
            <w:sz w:val="18"/>
            <w:szCs w:val="18"/>
            <w:lang w:val="en-GB"/>
          </w:rPr>
          <w:t>Classroom Strategies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_Toc239670481 \h </w:instrText>
        </w:r>
        <w:r w:rsidRPr="004B047D">
          <w:rPr>
            <w:noProof/>
            <w:webHidden/>
            <w:sz w:val="18"/>
            <w:szCs w:val="18"/>
          </w:rPr>
        </w:r>
        <w:r w:rsidRPr="004B047D">
          <w:rPr>
            <w:noProof/>
            <w:webHidden/>
            <w:sz w:val="18"/>
            <w:szCs w:val="18"/>
          </w:rPr>
          <w:fldChar w:fldCharType="separate"/>
        </w:r>
        <w:r w:rsidR="000E6145">
          <w:rPr>
            <w:noProof/>
            <w:webHidden/>
            <w:sz w:val="18"/>
            <w:szCs w:val="18"/>
          </w:rPr>
          <w:t>15</w:t>
        </w:r>
        <w:r w:rsidRPr="004B047D">
          <w:rPr>
            <w:noProof/>
            <w:webHidden/>
            <w:sz w:val="18"/>
            <w:szCs w:val="18"/>
          </w:rPr>
          <w:fldChar w:fldCharType="end"/>
        </w:r>
      </w:hyperlink>
    </w:p>
    <w:p w14:paraId="40875408" w14:textId="6F11EA61" w:rsidR="00D65F1C" w:rsidRPr="004B047D" w:rsidRDefault="00D65F1C">
      <w:pPr>
        <w:pStyle w:val="TOC1"/>
        <w:tabs>
          <w:tab w:val="left" w:pos="440"/>
          <w:tab w:val="right" w:leader="dot" w:pos="8630"/>
        </w:tabs>
        <w:rPr>
          <w:noProof/>
          <w:kern w:val="2"/>
          <w:sz w:val="18"/>
          <w:szCs w:val="18"/>
          <w:lang w:val="en-GB" w:eastAsia="en-GB"/>
          <w14:ligatures w14:val="standardContextual"/>
        </w:rPr>
      </w:pPr>
      <w:hyperlink w:anchor="_Toc239670482" w:history="1">
        <w:r w:rsidRPr="004B047D">
          <w:rPr>
            <w:rStyle w:val="Hyperlink"/>
            <w:rFonts w:ascii="Seaford" w:hAnsi="Seaford"/>
            <w:noProof/>
            <w:sz w:val="18"/>
            <w:szCs w:val="18"/>
          </w:rPr>
          <w:t>5.</w:t>
        </w:r>
        <w:r w:rsidRPr="004B047D">
          <w:rPr>
            <w:noProof/>
            <w:kern w:val="2"/>
            <w:sz w:val="18"/>
            <w:szCs w:val="18"/>
            <w:lang w:val="en-GB" w:eastAsia="en-GB"/>
            <w14:ligatures w14:val="standardContextual"/>
          </w:rPr>
          <w:tab/>
        </w:r>
        <w:r w:rsidRPr="004B047D">
          <w:rPr>
            <w:rStyle w:val="Hyperlink"/>
            <w:rFonts w:ascii="Seaford" w:hAnsi="Seaford"/>
            <w:noProof/>
            <w:sz w:val="18"/>
            <w:szCs w:val="18"/>
          </w:rPr>
          <w:t>Conducting Action Research</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_Toc239670482 \h </w:instrText>
        </w:r>
        <w:r w:rsidRPr="004B047D">
          <w:rPr>
            <w:noProof/>
            <w:webHidden/>
            <w:sz w:val="18"/>
            <w:szCs w:val="18"/>
          </w:rPr>
        </w:r>
        <w:r w:rsidRPr="004B047D">
          <w:rPr>
            <w:noProof/>
            <w:webHidden/>
            <w:sz w:val="18"/>
            <w:szCs w:val="18"/>
          </w:rPr>
          <w:fldChar w:fldCharType="separate"/>
        </w:r>
        <w:r w:rsidR="000E6145">
          <w:rPr>
            <w:noProof/>
            <w:webHidden/>
            <w:sz w:val="18"/>
            <w:szCs w:val="18"/>
          </w:rPr>
          <w:t>15</w:t>
        </w:r>
        <w:r w:rsidRPr="004B047D">
          <w:rPr>
            <w:noProof/>
            <w:webHidden/>
            <w:sz w:val="18"/>
            <w:szCs w:val="18"/>
          </w:rPr>
          <w:fldChar w:fldCharType="end"/>
        </w:r>
      </w:hyperlink>
    </w:p>
    <w:p w14:paraId="22AF8668" w14:textId="7C17EF81"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83" w:history="1">
        <w:r w:rsidRPr="004B047D">
          <w:rPr>
            <w:rStyle w:val="Hyperlink"/>
            <w:noProof/>
            <w:sz w:val="18"/>
            <w:szCs w:val="18"/>
          </w:rPr>
          <w:t>School Belonging Scales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_Toc239670483 \h </w:instrText>
        </w:r>
        <w:r w:rsidRPr="004B047D">
          <w:rPr>
            <w:noProof/>
            <w:webHidden/>
            <w:sz w:val="18"/>
            <w:szCs w:val="18"/>
          </w:rPr>
        </w:r>
        <w:r w:rsidRPr="004B047D">
          <w:rPr>
            <w:noProof/>
            <w:webHidden/>
            <w:sz w:val="18"/>
            <w:szCs w:val="18"/>
          </w:rPr>
          <w:fldChar w:fldCharType="separate"/>
        </w:r>
        <w:r w:rsidR="000E6145">
          <w:rPr>
            <w:noProof/>
            <w:webHidden/>
            <w:sz w:val="18"/>
            <w:szCs w:val="18"/>
          </w:rPr>
          <w:t>16</w:t>
        </w:r>
        <w:r w:rsidRPr="004B047D">
          <w:rPr>
            <w:noProof/>
            <w:webHidden/>
            <w:sz w:val="18"/>
            <w:szCs w:val="18"/>
          </w:rPr>
          <w:fldChar w:fldCharType="end"/>
        </w:r>
      </w:hyperlink>
    </w:p>
    <w:p w14:paraId="42C412E8" w14:textId="72EC7B0E" w:rsidR="00D65F1C" w:rsidRPr="004B047D" w:rsidRDefault="00D65F1C">
      <w:pPr>
        <w:pStyle w:val="TOC1"/>
        <w:tabs>
          <w:tab w:val="left" w:pos="440"/>
          <w:tab w:val="right" w:leader="dot" w:pos="8630"/>
        </w:tabs>
        <w:rPr>
          <w:noProof/>
          <w:kern w:val="2"/>
          <w:sz w:val="18"/>
          <w:szCs w:val="18"/>
          <w:lang w:val="en-GB" w:eastAsia="en-GB"/>
          <w14:ligatures w14:val="standardContextual"/>
        </w:rPr>
      </w:pPr>
      <w:hyperlink w:anchor="_Toc239670484" w:history="1">
        <w:r w:rsidRPr="004B047D">
          <w:rPr>
            <w:rStyle w:val="Hyperlink"/>
            <w:rFonts w:ascii="Seaford" w:hAnsi="Seaford"/>
            <w:noProof/>
            <w:sz w:val="18"/>
            <w:szCs w:val="18"/>
          </w:rPr>
          <w:t>6.</w:t>
        </w:r>
        <w:r w:rsidRPr="004B047D">
          <w:rPr>
            <w:noProof/>
            <w:kern w:val="2"/>
            <w:sz w:val="18"/>
            <w:szCs w:val="18"/>
            <w:lang w:val="en-GB" w:eastAsia="en-GB"/>
            <w14:ligatures w14:val="standardContextual"/>
          </w:rPr>
          <w:tab/>
        </w:r>
        <w:r w:rsidRPr="004B047D">
          <w:rPr>
            <w:rStyle w:val="Hyperlink"/>
            <w:rFonts w:ascii="Seaford" w:hAnsi="Seaford"/>
            <w:noProof/>
            <w:sz w:val="18"/>
            <w:szCs w:val="18"/>
          </w:rPr>
          <w:t>More Practical Tools to support belonging</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_Toc239670484 \h </w:instrText>
        </w:r>
        <w:r w:rsidRPr="004B047D">
          <w:rPr>
            <w:noProof/>
            <w:webHidden/>
            <w:sz w:val="18"/>
            <w:szCs w:val="18"/>
          </w:rPr>
        </w:r>
        <w:r w:rsidRPr="004B047D">
          <w:rPr>
            <w:noProof/>
            <w:webHidden/>
            <w:sz w:val="18"/>
            <w:szCs w:val="18"/>
          </w:rPr>
          <w:fldChar w:fldCharType="separate"/>
        </w:r>
        <w:r w:rsidR="000E6145">
          <w:rPr>
            <w:noProof/>
            <w:webHidden/>
            <w:sz w:val="18"/>
            <w:szCs w:val="18"/>
          </w:rPr>
          <w:t>17</w:t>
        </w:r>
        <w:r w:rsidRPr="004B047D">
          <w:rPr>
            <w:noProof/>
            <w:webHidden/>
            <w:sz w:val="18"/>
            <w:szCs w:val="18"/>
          </w:rPr>
          <w:fldChar w:fldCharType="end"/>
        </w:r>
      </w:hyperlink>
    </w:p>
    <w:p w14:paraId="771620ED" w14:textId="7A2807EB"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85" w:history="1">
        <w:r w:rsidRPr="004B047D">
          <w:rPr>
            <w:rStyle w:val="Hyperlink"/>
            <w:rFonts w:ascii="Seaford" w:hAnsi="Seaford"/>
            <w:noProof/>
            <w:sz w:val="18"/>
            <w:szCs w:val="18"/>
            <w:lang w:val="en-GB"/>
          </w:rPr>
          <w:t>Staff Reflection Tools to Promote Belonging and Inclusion</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_Toc239670485 \h </w:instrText>
        </w:r>
        <w:r w:rsidRPr="004B047D">
          <w:rPr>
            <w:noProof/>
            <w:webHidden/>
            <w:sz w:val="18"/>
            <w:szCs w:val="18"/>
          </w:rPr>
        </w:r>
        <w:r w:rsidRPr="004B047D">
          <w:rPr>
            <w:noProof/>
            <w:webHidden/>
            <w:sz w:val="18"/>
            <w:szCs w:val="18"/>
          </w:rPr>
          <w:fldChar w:fldCharType="separate"/>
        </w:r>
        <w:r w:rsidR="000E6145">
          <w:rPr>
            <w:noProof/>
            <w:webHidden/>
            <w:sz w:val="18"/>
            <w:szCs w:val="18"/>
          </w:rPr>
          <w:t>17</w:t>
        </w:r>
        <w:r w:rsidRPr="004B047D">
          <w:rPr>
            <w:noProof/>
            <w:webHidden/>
            <w:sz w:val="18"/>
            <w:szCs w:val="18"/>
          </w:rPr>
          <w:fldChar w:fldCharType="end"/>
        </w:r>
      </w:hyperlink>
    </w:p>
    <w:p w14:paraId="26FA0B5A" w14:textId="146A6625" w:rsidR="00D65F1C" w:rsidRPr="004B047D" w:rsidRDefault="00D65F1C">
      <w:pPr>
        <w:pStyle w:val="TOC3"/>
        <w:tabs>
          <w:tab w:val="right" w:leader="dot" w:pos="8630"/>
        </w:tabs>
        <w:rPr>
          <w:noProof/>
          <w:kern w:val="2"/>
          <w:sz w:val="18"/>
          <w:szCs w:val="18"/>
          <w:lang w:val="en-GB" w:eastAsia="en-GB"/>
          <w14:ligatures w14:val="standardContextual"/>
        </w:rPr>
      </w:pPr>
      <w:hyperlink w:anchor="_Toc239670486" w:history="1">
        <w:r w:rsidRPr="004B047D">
          <w:rPr>
            <w:rStyle w:val="Hyperlink"/>
            <w:rFonts w:ascii="Seaford" w:hAnsi="Seaford"/>
            <w:noProof/>
            <w:sz w:val="18"/>
            <w:szCs w:val="18"/>
            <w:lang w:val="en-GB"/>
          </w:rPr>
          <w:t>Solution Circles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_Toc239670486 \h </w:instrText>
        </w:r>
        <w:r w:rsidRPr="004B047D">
          <w:rPr>
            <w:noProof/>
            <w:webHidden/>
            <w:sz w:val="18"/>
            <w:szCs w:val="18"/>
          </w:rPr>
        </w:r>
        <w:r w:rsidRPr="004B047D">
          <w:rPr>
            <w:noProof/>
            <w:webHidden/>
            <w:sz w:val="18"/>
            <w:szCs w:val="18"/>
          </w:rPr>
          <w:fldChar w:fldCharType="separate"/>
        </w:r>
        <w:r w:rsidR="000E6145">
          <w:rPr>
            <w:noProof/>
            <w:webHidden/>
            <w:sz w:val="18"/>
            <w:szCs w:val="18"/>
          </w:rPr>
          <w:t>18</w:t>
        </w:r>
        <w:r w:rsidRPr="004B047D">
          <w:rPr>
            <w:noProof/>
            <w:webHidden/>
            <w:sz w:val="18"/>
            <w:szCs w:val="18"/>
          </w:rPr>
          <w:fldChar w:fldCharType="end"/>
        </w:r>
      </w:hyperlink>
    </w:p>
    <w:p w14:paraId="61923ADC" w14:textId="65344736" w:rsidR="00D65F1C" w:rsidRPr="004B047D" w:rsidRDefault="00D65F1C">
      <w:pPr>
        <w:pStyle w:val="TOC3"/>
        <w:tabs>
          <w:tab w:val="right" w:leader="dot" w:pos="8630"/>
        </w:tabs>
        <w:rPr>
          <w:noProof/>
          <w:kern w:val="2"/>
          <w:sz w:val="18"/>
          <w:szCs w:val="18"/>
          <w:lang w:val="en-GB" w:eastAsia="en-GB"/>
          <w14:ligatures w14:val="standardContextual"/>
        </w:rPr>
      </w:pPr>
      <w:hyperlink w:anchor="_Toc239670487" w:history="1">
        <w:r w:rsidRPr="004B047D">
          <w:rPr>
            <w:rStyle w:val="Hyperlink"/>
            <w:rFonts w:ascii="Seaford" w:hAnsi="Seaford"/>
            <w:noProof/>
            <w:sz w:val="18"/>
            <w:szCs w:val="18"/>
            <w:lang w:val="en-GB"/>
          </w:rPr>
          <w:t>Circle of Adults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_Toc239670487 \h </w:instrText>
        </w:r>
        <w:r w:rsidRPr="004B047D">
          <w:rPr>
            <w:noProof/>
            <w:webHidden/>
            <w:sz w:val="18"/>
            <w:szCs w:val="18"/>
          </w:rPr>
        </w:r>
        <w:r w:rsidRPr="004B047D">
          <w:rPr>
            <w:noProof/>
            <w:webHidden/>
            <w:sz w:val="18"/>
            <w:szCs w:val="18"/>
          </w:rPr>
          <w:fldChar w:fldCharType="separate"/>
        </w:r>
        <w:r w:rsidR="000E6145">
          <w:rPr>
            <w:noProof/>
            <w:webHidden/>
            <w:sz w:val="18"/>
            <w:szCs w:val="18"/>
          </w:rPr>
          <w:t>18</w:t>
        </w:r>
        <w:r w:rsidRPr="004B047D">
          <w:rPr>
            <w:noProof/>
            <w:webHidden/>
            <w:sz w:val="18"/>
            <w:szCs w:val="18"/>
          </w:rPr>
          <w:fldChar w:fldCharType="end"/>
        </w:r>
      </w:hyperlink>
    </w:p>
    <w:p w14:paraId="41E8E87B" w14:textId="1B68C69B"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88" w:history="1">
        <w:r w:rsidRPr="004B047D">
          <w:rPr>
            <w:rStyle w:val="Hyperlink"/>
            <w:rFonts w:ascii="Seaford" w:hAnsi="Seaford"/>
            <w:noProof/>
            <w:sz w:val="18"/>
            <w:szCs w:val="18"/>
            <w:lang w:val="en-GB"/>
          </w:rPr>
          <w:t>Pupil Voice Activities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_Toc239670488 \h </w:instrText>
        </w:r>
        <w:r w:rsidRPr="004B047D">
          <w:rPr>
            <w:noProof/>
            <w:webHidden/>
            <w:sz w:val="18"/>
            <w:szCs w:val="18"/>
          </w:rPr>
        </w:r>
        <w:r w:rsidRPr="004B047D">
          <w:rPr>
            <w:noProof/>
            <w:webHidden/>
            <w:sz w:val="18"/>
            <w:szCs w:val="18"/>
          </w:rPr>
          <w:fldChar w:fldCharType="separate"/>
        </w:r>
        <w:r w:rsidR="000E6145">
          <w:rPr>
            <w:noProof/>
            <w:webHidden/>
            <w:sz w:val="18"/>
            <w:szCs w:val="18"/>
          </w:rPr>
          <w:t>19</w:t>
        </w:r>
        <w:r w:rsidRPr="004B047D">
          <w:rPr>
            <w:noProof/>
            <w:webHidden/>
            <w:sz w:val="18"/>
            <w:szCs w:val="18"/>
          </w:rPr>
          <w:fldChar w:fldCharType="end"/>
        </w:r>
      </w:hyperlink>
    </w:p>
    <w:p w14:paraId="1F2B995E" w14:textId="2D5F5E03" w:rsidR="00D65F1C" w:rsidRPr="004B047D" w:rsidRDefault="00D65F1C">
      <w:pPr>
        <w:pStyle w:val="TOC3"/>
        <w:tabs>
          <w:tab w:val="right" w:leader="dot" w:pos="8630"/>
        </w:tabs>
        <w:rPr>
          <w:noProof/>
          <w:kern w:val="2"/>
          <w:sz w:val="18"/>
          <w:szCs w:val="18"/>
          <w:lang w:val="en-GB" w:eastAsia="en-GB"/>
          <w14:ligatures w14:val="standardContextual"/>
        </w:rPr>
      </w:pPr>
      <w:hyperlink w:anchor="_Toc239670489" w:history="1">
        <w:r w:rsidRPr="004B047D">
          <w:rPr>
            <w:rStyle w:val="Hyperlink"/>
            <w:rFonts w:ascii="Seaford" w:hAnsi="Seaford"/>
            <w:noProof/>
            <w:sz w:val="18"/>
            <w:szCs w:val="18"/>
            <w:lang w:val="en-GB"/>
          </w:rPr>
          <w:t>PATH</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_Toc239670489 \h </w:instrText>
        </w:r>
        <w:r w:rsidRPr="004B047D">
          <w:rPr>
            <w:noProof/>
            <w:webHidden/>
            <w:sz w:val="18"/>
            <w:szCs w:val="18"/>
          </w:rPr>
        </w:r>
        <w:r w:rsidRPr="004B047D">
          <w:rPr>
            <w:noProof/>
            <w:webHidden/>
            <w:sz w:val="18"/>
            <w:szCs w:val="18"/>
          </w:rPr>
          <w:fldChar w:fldCharType="separate"/>
        </w:r>
        <w:r w:rsidR="000E6145">
          <w:rPr>
            <w:noProof/>
            <w:webHidden/>
            <w:sz w:val="18"/>
            <w:szCs w:val="18"/>
          </w:rPr>
          <w:t>20</w:t>
        </w:r>
        <w:r w:rsidRPr="004B047D">
          <w:rPr>
            <w:noProof/>
            <w:webHidden/>
            <w:sz w:val="18"/>
            <w:szCs w:val="18"/>
          </w:rPr>
          <w:fldChar w:fldCharType="end"/>
        </w:r>
      </w:hyperlink>
    </w:p>
    <w:p w14:paraId="66A76717" w14:textId="29B905C1" w:rsidR="00D65F1C" w:rsidRPr="004B047D" w:rsidRDefault="00D65F1C">
      <w:pPr>
        <w:pStyle w:val="TOC3"/>
        <w:tabs>
          <w:tab w:val="right" w:leader="dot" w:pos="8630"/>
        </w:tabs>
        <w:rPr>
          <w:noProof/>
          <w:kern w:val="2"/>
          <w:sz w:val="18"/>
          <w:szCs w:val="18"/>
          <w:lang w:val="en-GB" w:eastAsia="en-GB"/>
          <w14:ligatures w14:val="standardContextual"/>
        </w:rPr>
      </w:pPr>
      <w:hyperlink w:anchor="_Toc239670490" w:history="1">
        <w:r w:rsidRPr="004B047D">
          <w:rPr>
            <w:rStyle w:val="Hyperlink"/>
            <w:rFonts w:ascii="Seaford" w:hAnsi="Seaford"/>
            <w:noProof/>
            <w:sz w:val="18"/>
            <w:szCs w:val="18"/>
            <w:lang w:val="en-GB"/>
          </w:rPr>
          <w:t>Drawing the Ideal School</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_Toc239670490 \h </w:instrText>
        </w:r>
        <w:r w:rsidRPr="004B047D">
          <w:rPr>
            <w:noProof/>
            <w:webHidden/>
            <w:sz w:val="18"/>
            <w:szCs w:val="18"/>
          </w:rPr>
        </w:r>
        <w:r w:rsidRPr="004B047D">
          <w:rPr>
            <w:noProof/>
            <w:webHidden/>
            <w:sz w:val="18"/>
            <w:szCs w:val="18"/>
          </w:rPr>
          <w:fldChar w:fldCharType="separate"/>
        </w:r>
        <w:r w:rsidR="000E6145">
          <w:rPr>
            <w:noProof/>
            <w:webHidden/>
            <w:sz w:val="18"/>
            <w:szCs w:val="18"/>
          </w:rPr>
          <w:t>21</w:t>
        </w:r>
        <w:r w:rsidRPr="004B047D">
          <w:rPr>
            <w:noProof/>
            <w:webHidden/>
            <w:sz w:val="18"/>
            <w:szCs w:val="18"/>
          </w:rPr>
          <w:fldChar w:fldCharType="end"/>
        </w:r>
      </w:hyperlink>
    </w:p>
    <w:p w14:paraId="3F2AC32F" w14:textId="290976C6" w:rsidR="00D65F1C" w:rsidRPr="004B047D" w:rsidRDefault="00D65F1C">
      <w:pPr>
        <w:pStyle w:val="TOC3"/>
        <w:tabs>
          <w:tab w:val="right" w:leader="dot" w:pos="8630"/>
        </w:tabs>
        <w:rPr>
          <w:noProof/>
          <w:kern w:val="2"/>
          <w:sz w:val="18"/>
          <w:szCs w:val="18"/>
          <w:lang w:val="en-GB" w:eastAsia="en-GB"/>
          <w14:ligatures w14:val="standardContextual"/>
        </w:rPr>
      </w:pPr>
      <w:hyperlink w:anchor="_Toc239670491" w:history="1">
        <w:r w:rsidRPr="004B047D">
          <w:rPr>
            <w:rStyle w:val="Hyperlink"/>
            <w:rFonts w:ascii="Seaford" w:hAnsi="Seaford"/>
            <w:noProof/>
            <w:sz w:val="18"/>
            <w:szCs w:val="18"/>
            <w:lang w:val="en-GB"/>
          </w:rPr>
          <w:t>Using School Wellbeing Cards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_Toc239670491 \h </w:instrText>
        </w:r>
        <w:r w:rsidRPr="004B047D">
          <w:rPr>
            <w:noProof/>
            <w:webHidden/>
            <w:sz w:val="18"/>
            <w:szCs w:val="18"/>
          </w:rPr>
        </w:r>
        <w:r w:rsidRPr="004B047D">
          <w:rPr>
            <w:noProof/>
            <w:webHidden/>
            <w:sz w:val="18"/>
            <w:szCs w:val="18"/>
          </w:rPr>
          <w:fldChar w:fldCharType="separate"/>
        </w:r>
        <w:r w:rsidR="000E6145">
          <w:rPr>
            <w:noProof/>
            <w:webHidden/>
            <w:sz w:val="18"/>
            <w:szCs w:val="18"/>
          </w:rPr>
          <w:t>21</w:t>
        </w:r>
        <w:r w:rsidRPr="004B047D">
          <w:rPr>
            <w:noProof/>
            <w:webHidden/>
            <w:sz w:val="18"/>
            <w:szCs w:val="18"/>
          </w:rPr>
          <w:fldChar w:fldCharType="end"/>
        </w:r>
      </w:hyperlink>
    </w:p>
    <w:p w14:paraId="668EB624" w14:textId="7299CC61" w:rsidR="00D65F1C" w:rsidRPr="004B047D" w:rsidRDefault="00D65F1C">
      <w:pPr>
        <w:pStyle w:val="TOC2"/>
        <w:tabs>
          <w:tab w:val="right" w:leader="dot" w:pos="8630"/>
        </w:tabs>
        <w:rPr>
          <w:noProof/>
          <w:kern w:val="2"/>
          <w:sz w:val="18"/>
          <w:szCs w:val="18"/>
          <w:lang w:val="en-GB" w:eastAsia="en-GB"/>
          <w14:ligatures w14:val="standardContextual"/>
        </w:rPr>
      </w:pPr>
      <w:hyperlink w:anchor="_Toc239670492" w:history="1">
        <w:r w:rsidRPr="004B047D">
          <w:rPr>
            <w:rStyle w:val="Hyperlink"/>
            <w:noProof/>
            <w:sz w:val="18"/>
            <w:szCs w:val="18"/>
            <w:lang w:val="en-GB"/>
          </w:rPr>
          <w:t>Further Resources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_Toc239670492 \h </w:instrText>
        </w:r>
        <w:r w:rsidRPr="004B047D">
          <w:rPr>
            <w:noProof/>
            <w:webHidden/>
            <w:sz w:val="18"/>
            <w:szCs w:val="18"/>
          </w:rPr>
        </w:r>
        <w:r w:rsidRPr="004B047D">
          <w:rPr>
            <w:noProof/>
            <w:webHidden/>
            <w:sz w:val="18"/>
            <w:szCs w:val="18"/>
          </w:rPr>
          <w:fldChar w:fldCharType="separate"/>
        </w:r>
        <w:r w:rsidR="000E6145">
          <w:rPr>
            <w:noProof/>
            <w:webHidden/>
            <w:sz w:val="18"/>
            <w:szCs w:val="18"/>
          </w:rPr>
          <w:t>21</w:t>
        </w:r>
        <w:r w:rsidRPr="004B047D">
          <w:rPr>
            <w:noProof/>
            <w:webHidden/>
            <w:sz w:val="18"/>
            <w:szCs w:val="18"/>
          </w:rPr>
          <w:fldChar w:fldCharType="end"/>
        </w:r>
      </w:hyperlink>
    </w:p>
    <w:p w14:paraId="0BEE7BA4" w14:textId="38813743" w:rsidR="00D65F1C" w:rsidRPr="004B047D" w:rsidRDefault="00D65F1C">
      <w:pPr>
        <w:pStyle w:val="TOC1"/>
        <w:tabs>
          <w:tab w:val="right" w:leader="dot" w:pos="8630"/>
        </w:tabs>
        <w:rPr>
          <w:noProof/>
          <w:kern w:val="2"/>
          <w:sz w:val="18"/>
          <w:szCs w:val="18"/>
          <w:lang w:val="en-GB" w:eastAsia="en-GB"/>
          <w14:ligatures w14:val="standardContextual"/>
        </w:rPr>
      </w:pPr>
      <w:hyperlink w:anchor="_Toc239670493" w:history="1">
        <w:r w:rsidRPr="004B047D">
          <w:rPr>
            <w:rStyle w:val="Hyperlink"/>
            <w:rFonts w:ascii="Seaford" w:hAnsi="Seaford"/>
            <w:noProof/>
            <w:sz w:val="18"/>
            <w:szCs w:val="18"/>
          </w:rPr>
          <w:t>References</w:t>
        </w:r>
        <w:r w:rsidRPr="004B047D">
          <w:rPr>
            <w:noProof/>
            <w:webHidden/>
            <w:sz w:val="18"/>
            <w:szCs w:val="18"/>
          </w:rPr>
          <w:tab/>
        </w:r>
        <w:r w:rsidRPr="004B047D">
          <w:rPr>
            <w:noProof/>
            <w:webHidden/>
            <w:sz w:val="18"/>
            <w:szCs w:val="18"/>
          </w:rPr>
          <w:fldChar w:fldCharType="begin"/>
        </w:r>
        <w:r w:rsidRPr="004B047D">
          <w:rPr>
            <w:noProof/>
            <w:webHidden/>
            <w:sz w:val="18"/>
            <w:szCs w:val="18"/>
          </w:rPr>
          <w:instrText xml:space="preserve"> PAGEREF _Toc239670493 \h </w:instrText>
        </w:r>
        <w:r w:rsidRPr="004B047D">
          <w:rPr>
            <w:noProof/>
            <w:webHidden/>
            <w:sz w:val="18"/>
            <w:szCs w:val="18"/>
          </w:rPr>
        </w:r>
        <w:r w:rsidRPr="004B047D">
          <w:rPr>
            <w:noProof/>
            <w:webHidden/>
            <w:sz w:val="18"/>
            <w:szCs w:val="18"/>
          </w:rPr>
          <w:fldChar w:fldCharType="separate"/>
        </w:r>
        <w:r w:rsidR="000E6145">
          <w:rPr>
            <w:noProof/>
            <w:webHidden/>
            <w:sz w:val="18"/>
            <w:szCs w:val="18"/>
          </w:rPr>
          <w:t>22</w:t>
        </w:r>
        <w:r w:rsidRPr="004B047D">
          <w:rPr>
            <w:noProof/>
            <w:webHidden/>
            <w:sz w:val="18"/>
            <w:szCs w:val="18"/>
          </w:rPr>
          <w:fldChar w:fldCharType="end"/>
        </w:r>
      </w:hyperlink>
    </w:p>
    <w:p w14:paraId="04790D2A" w14:textId="570A0005" w:rsidR="000968F4" w:rsidRDefault="00D41367">
      <w:pPr>
        <w:rPr>
          <w:rFonts w:ascii="Seaford" w:hAnsi="Seaford" w:cstheme="majorHAnsi"/>
          <w:sz w:val="20"/>
          <w:szCs w:val="20"/>
        </w:rPr>
      </w:pPr>
      <w:r w:rsidRPr="004B047D">
        <w:rPr>
          <w:rFonts w:ascii="Seaford" w:hAnsi="Seaford" w:cstheme="majorHAnsi"/>
          <w:sz w:val="18"/>
          <w:szCs w:val="18"/>
        </w:rPr>
        <w:fldChar w:fldCharType="end"/>
      </w:r>
    </w:p>
    <w:p w14:paraId="5D46958A" w14:textId="77777777" w:rsidR="008F1DFA" w:rsidRPr="00404623" w:rsidRDefault="008F1DFA">
      <w:pPr>
        <w:rPr>
          <w:rFonts w:ascii="Seaford" w:hAnsi="Seaford" w:cstheme="majorHAnsi"/>
          <w:sz w:val="24"/>
          <w:szCs w:val="24"/>
        </w:rPr>
      </w:pPr>
    </w:p>
    <w:p w14:paraId="7FCC585D" w14:textId="3203C45F" w:rsidR="008800B5" w:rsidRPr="00404623" w:rsidRDefault="008F4440">
      <w:pPr>
        <w:pStyle w:val="Title"/>
        <w:rPr>
          <w:rFonts w:ascii="Seaford" w:hAnsi="Seaford" w:cstheme="majorHAnsi"/>
          <w:sz w:val="24"/>
          <w:szCs w:val="24"/>
        </w:rPr>
      </w:pPr>
      <w:r w:rsidRPr="00404623">
        <w:rPr>
          <w:rFonts w:ascii="Seaford" w:hAnsi="Seaford" w:cstheme="majorHAnsi"/>
          <w:sz w:val="24"/>
          <w:szCs w:val="24"/>
        </w:rPr>
        <w:lastRenderedPageBreak/>
        <w:t>School Belonging Support Pack for Secondary Schools</w:t>
      </w:r>
    </w:p>
    <w:p w14:paraId="5D66D867" w14:textId="2055D978" w:rsidR="008800B5" w:rsidRPr="00404623" w:rsidRDefault="008F4440" w:rsidP="00751A4E">
      <w:pPr>
        <w:pStyle w:val="Heading1"/>
        <w:numPr>
          <w:ilvl w:val="0"/>
          <w:numId w:val="24"/>
        </w:numPr>
        <w:rPr>
          <w:rFonts w:ascii="Seaford" w:hAnsi="Seaford" w:cstheme="majorHAnsi"/>
          <w:sz w:val="24"/>
          <w:szCs w:val="24"/>
        </w:rPr>
      </w:pPr>
      <w:bookmarkStart w:id="2" w:name="_Toc239670464"/>
      <w:r w:rsidRPr="00404623">
        <w:rPr>
          <w:rFonts w:ascii="Seaford" w:hAnsi="Seaford" w:cstheme="majorHAnsi"/>
          <w:sz w:val="24"/>
          <w:szCs w:val="24"/>
        </w:rPr>
        <w:t>Introduction</w:t>
      </w:r>
      <w:bookmarkEnd w:id="2"/>
    </w:p>
    <w:p w14:paraId="12765222" w14:textId="69424C1F" w:rsidR="008800B5" w:rsidRPr="00404623" w:rsidRDefault="008F4440" w:rsidP="004E2803">
      <w:pPr>
        <w:rPr>
          <w:rFonts w:ascii="Seaford" w:hAnsi="Seaford"/>
          <w:sz w:val="24"/>
          <w:szCs w:val="24"/>
        </w:rPr>
      </w:pPr>
      <w:r w:rsidRPr="00404623">
        <w:rPr>
          <w:rFonts w:ascii="Seaford" w:hAnsi="Seaford"/>
          <w:sz w:val="24"/>
          <w:szCs w:val="24"/>
        </w:rPr>
        <w:br/>
        <w:t>This support pack is designed to help secondary schools foster a stronger sense of belonging among students. It integrates educational psychology theory, empirical research, and practical strategies to support student wellbeing, engagement, and academic success.</w:t>
      </w:r>
      <w:r w:rsidR="00C60500" w:rsidRPr="00404623">
        <w:rPr>
          <w:rFonts w:ascii="Seaford" w:hAnsi="Seaford"/>
          <w:sz w:val="24"/>
          <w:szCs w:val="24"/>
        </w:rPr>
        <w:t xml:space="preserve"> It provides practical tools and reflective prompts to help staff foster inclusive environments.</w:t>
      </w:r>
    </w:p>
    <w:p w14:paraId="029BE8BF" w14:textId="15A7E27F" w:rsidR="00B4074D" w:rsidRPr="00404623" w:rsidRDefault="006A6344" w:rsidP="00B4074D">
      <w:pPr>
        <w:rPr>
          <w:rFonts w:ascii="Seaford" w:hAnsi="Seaford"/>
          <w:sz w:val="24"/>
          <w:szCs w:val="24"/>
          <w:lang w:val="en-GB"/>
        </w:rPr>
      </w:pPr>
      <w:r w:rsidRPr="00404623">
        <w:rPr>
          <w:rFonts w:ascii="Seaford" w:hAnsi="Seaford"/>
          <w:i/>
          <w:iCs/>
          <w:noProof/>
          <w:sz w:val="24"/>
          <w:szCs w:val="24"/>
        </w:rPr>
        <w:drawing>
          <wp:anchor distT="0" distB="0" distL="114300" distR="114300" simplePos="0" relativeHeight="251656192" behindDoc="1" locked="0" layoutInCell="1" allowOverlap="1" wp14:anchorId="4FB4F643" wp14:editId="4658DA72">
            <wp:simplePos x="0" y="0"/>
            <wp:positionH relativeFrom="column">
              <wp:posOffset>2749550</wp:posOffset>
            </wp:positionH>
            <wp:positionV relativeFrom="paragraph">
              <wp:posOffset>522605</wp:posOffset>
            </wp:positionV>
            <wp:extent cx="3112770" cy="4669155"/>
            <wp:effectExtent l="0" t="0" r="0" b="0"/>
            <wp:wrapTight wrapText="bothSides">
              <wp:wrapPolygon edited="0">
                <wp:start x="0" y="0"/>
                <wp:lineTo x="0" y="21503"/>
                <wp:lineTo x="21415" y="21503"/>
                <wp:lineTo x="21415" y="0"/>
                <wp:lineTo x="0" y="0"/>
              </wp:wrapPolygon>
            </wp:wrapTight>
            <wp:docPr id="1685106817" name="Picture 1" descr="A page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06817" name="Picture 1" descr="A page of a school&#10;&#10;AI-generated content may be incorrect."/>
                    <pic:cNvPicPr/>
                  </pic:nvPicPr>
                  <pic:blipFill>
                    <a:blip r:embed="rId12"/>
                    <a:stretch>
                      <a:fillRect/>
                    </a:stretch>
                  </pic:blipFill>
                  <pic:spPr>
                    <a:xfrm>
                      <a:off x="0" y="0"/>
                      <a:ext cx="3112770" cy="4669155"/>
                    </a:xfrm>
                    <a:prstGeom prst="rect">
                      <a:avLst/>
                    </a:prstGeom>
                  </pic:spPr>
                </pic:pic>
              </a:graphicData>
            </a:graphic>
            <wp14:sizeRelH relativeFrom="margin">
              <wp14:pctWidth>0</wp14:pctWidth>
            </wp14:sizeRelH>
            <wp14:sizeRelV relativeFrom="margin">
              <wp14:pctHeight>0</wp14:pctHeight>
            </wp14:sizeRelV>
          </wp:anchor>
        </w:drawing>
      </w:r>
      <w:r w:rsidR="00B4074D" w:rsidRPr="00404623">
        <w:rPr>
          <w:rFonts w:ascii="Seaford" w:eastAsia="Times New Roman" w:hAnsi="Seaford" w:cs="Segoe UI"/>
          <w:b/>
          <w:bCs/>
          <w:sz w:val="21"/>
          <w:szCs w:val="21"/>
          <w:lang w:val="en-GB" w:eastAsia="en-GB"/>
        </w:rPr>
        <w:t xml:space="preserve"> </w:t>
      </w:r>
      <w:r w:rsidR="00B4074D" w:rsidRPr="00404623">
        <w:rPr>
          <w:rFonts w:ascii="Seaford" w:hAnsi="Seaford"/>
          <w:b/>
          <w:bCs/>
          <w:sz w:val="24"/>
          <w:szCs w:val="24"/>
          <w:lang w:val="en-GB"/>
        </w:rPr>
        <w:t>Acknowledgements</w:t>
      </w:r>
      <w:r w:rsidR="00B4074D" w:rsidRPr="00404623">
        <w:rPr>
          <w:rFonts w:ascii="Seaford" w:hAnsi="Seaford"/>
          <w:sz w:val="24"/>
          <w:szCs w:val="24"/>
          <w:lang w:val="en-GB"/>
        </w:rPr>
        <w:br/>
        <w:t xml:space="preserve">This resource has been informed not only by the published research literature but also by valuable professional discussions with leading researchers in the field of school belonging. </w:t>
      </w:r>
      <w:r w:rsidR="00EE2B2D" w:rsidRPr="00404623">
        <w:rPr>
          <w:rFonts w:ascii="Seaford" w:hAnsi="Seaford"/>
          <w:sz w:val="24"/>
          <w:szCs w:val="24"/>
          <w:lang w:val="en-GB"/>
        </w:rPr>
        <w:t>We</w:t>
      </w:r>
      <w:r w:rsidR="00B4074D" w:rsidRPr="00404623">
        <w:rPr>
          <w:rFonts w:ascii="Seaford" w:hAnsi="Seaford"/>
          <w:sz w:val="24"/>
          <w:szCs w:val="24"/>
          <w:lang w:val="en-GB"/>
        </w:rPr>
        <w:t xml:space="preserve"> would like to acknowledge </w:t>
      </w:r>
      <w:r w:rsidR="00B4074D" w:rsidRPr="00404623">
        <w:rPr>
          <w:rFonts w:ascii="Seaford" w:hAnsi="Seaford"/>
          <w:b/>
          <w:bCs/>
          <w:sz w:val="24"/>
          <w:szCs w:val="24"/>
          <w:lang w:val="en-GB"/>
        </w:rPr>
        <w:t>Professor Kathryn Riley</w:t>
      </w:r>
      <w:r w:rsidR="00B4074D" w:rsidRPr="00404623">
        <w:rPr>
          <w:rFonts w:ascii="Seaford" w:hAnsi="Seaford"/>
          <w:sz w:val="24"/>
          <w:szCs w:val="24"/>
          <w:lang w:val="en-GB"/>
        </w:rPr>
        <w:t xml:space="preserve"> (UCL Institute of Education) and </w:t>
      </w:r>
      <w:r w:rsidR="00B4074D" w:rsidRPr="00404623">
        <w:rPr>
          <w:rFonts w:ascii="Seaford" w:hAnsi="Seaford"/>
          <w:b/>
          <w:bCs/>
          <w:sz w:val="24"/>
          <w:szCs w:val="24"/>
          <w:lang w:val="en-GB"/>
        </w:rPr>
        <w:t>Dr David Heyne</w:t>
      </w:r>
      <w:r w:rsidR="000727D3" w:rsidRPr="00404623">
        <w:rPr>
          <w:rFonts w:ascii="Seaford" w:hAnsi="Seaford"/>
          <w:b/>
          <w:bCs/>
          <w:sz w:val="24"/>
          <w:szCs w:val="24"/>
          <w:lang w:val="en-GB"/>
        </w:rPr>
        <w:t xml:space="preserve"> </w:t>
      </w:r>
      <w:r w:rsidR="000727D3" w:rsidRPr="00404623">
        <w:rPr>
          <w:rFonts w:ascii="Seaford" w:hAnsi="Seaford"/>
          <w:sz w:val="24"/>
          <w:szCs w:val="24"/>
          <w:lang w:val="en-GB"/>
        </w:rPr>
        <w:t>(Deakin University)</w:t>
      </w:r>
      <w:r w:rsidR="00B4074D" w:rsidRPr="00404623">
        <w:rPr>
          <w:rFonts w:ascii="Seaford" w:hAnsi="Seaford"/>
          <w:sz w:val="24"/>
          <w:szCs w:val="24"/>
          <w:lang w:val="en-GB"/>
        </w:rPr>
        <w:t xml:space="preserve"> for their generosity in sharing their expertise</w:t>
      </w:r>
      <w:r w:rsidR="00CF667E" w:rsidRPr="00404623">
        <w:rPr>
          <w:rFonts w:ascii="Seaford" w:hAnsi="Seaford"/>
          <w:sz w:val="24"/>
          <w:szCs w:val="24"/>
          <w:lang w:val="en-GB"/>
        </w:rPr>
        <w:t xml:space="preserve"> </w:t>
      </w:r>
      <w:r w:rsidR="00B4074D" w:rsidRPr="00404623">
        <w:rPr>
          <w:rFonts w:ascii="Seaford" w:hAnsi="Seaford"/>
          <w:sz w:val="24"/>
          <w:szCs w:val="24"/>
          <w:lang w:val="en-GB"/>
        </w:rPr>
        <w:t xml:space="preserve">and </w:t>
      </w:r>
      <w:r w:rsidR="00CF667E" w:rsidRPr="00404623">
        <w:rPr>
          <w:rFonts w:ascii="Seaford" w:hAnsi="Seaford"/>
          <w:sz w:val="24"/>
          <w:szCs w:val="24"/>
          <w:lang w:val="en-GB"/>
        </w:rPr>
        <w:t>materials</w:t>
      </w:r>
      <w:r w:rsidR="00B4074D" w:rsidRPr="00404623">
        <w:rPr>
          <w:rFonts w:ascii="Seaford" w:hAnsi="Seaford"/>
          <w:sz w:val="24"/>
          <w:szCs w:val="24"/>
          <w:lang w:val="en-GB"/>
        </w:rPr>
        <w:t xml:space="preserve"> through personal communications. Their contributions have helped to shape the conceptual foundations and practical recommendations presented within this support pack.</w:t>
      </w:r>
    </w:p>
    <w:p w14:paraId="2A70EAF4" w14:textId="323CA07C" w:rsidR="00982804" w:rsidRPr="00404623" w:rsidRDefault="00982804" w:rsidP="004E2803">
      <w:pPr>
        <w:rPr>
          <w:rFonts w:ascii="Seaford" w:hAnsi="Seaford"/>
          <w:sz w:val="24"/>
          <w:szCs w:val="24"/>
        </w:rPr>
      </w:pPr>
    </w:p>
    <w:p w14:paraId="2883F09C" w14:textId="0465FC63" w:rsidR="00FC01BE" w:rsidRPr="00404623" w:rsidRDefault="00307F20" w:rsidP="00307F20">
      <w:pPr>
        <w:rPr>
          <w:rFonts w:ascii="Seaford" w:hAnsi="Seaford"/>
          <w:i/>
          <w:iCs/>
          <w:sz w:val="24"/>
          <w:szCs w:val="24"/>
        </w:rPr>
      </w:pPr>
      <w:r w:rsidRPr="00404623">
        <w:rPr>
          <w:rFonts w:ascii="Seaford" w:hAnsi="Seaford"/>
          <w:i/>
          <w:iCs/>
          <w:sz w:val="24"/>
          <w:szCs w:val="24"/>
        </w:rPr>
        <w:t xml:space="preserve"> </w:t>
      </w:r>
    </w:p>
    <w:p w14:paraId="77A7DBE7" w14:textId="77777777" w:rsidR="006A6344" w:rsidRPr="00404623" w:rsidRDefault="006A6344" w:rsidP="00307F20">
      <w:pPr>
        <w:rPr>
          <w:rFonts w:ascii="Seaford" w:hAnsi="Seaford"/>
          <w:sz w:val="24"/>
          <w:szCs w:val="24"/>
        </w:rPr>
      </w:pPr>
    </w:p>
    <w:p w14:paraId="52C17F32" w14:textId="77777777" w:rsidR="006A6344" w:rsidRPr="00404623" w:rsidRDefault="006A6344" w:rsidP="00307F20">
      <w:pPr>
        <w:rPr>
          <w:rFonts w:ascii="Seaford" w:hAnsi="Seaford"/>
          <w:sz w:val="24"/>
          <w:szCs w:val="24"/>
        </w:rPr>
      </w:pPr>
    </w:p>
    <w:p w14:paraId="70CCD5BD" w14:textId="7DAC36DC" w:rsidR="00307F20" w:rsidRDefault="000B03BF" w:rsidP="00A450B0">
      <w:pPr>
        <w:ind w:left="5760"/>
        <w:rPr>
          <w:rFonts w:ascii="Seaford" w:hAnsi="Seaford"/>
          <w:sz w:val="24"/>
          <w:szCs w:val="24"/>
        </w:rPr>
      </w:pPr>
      <w:r w:rsidRPr="00404623">
        <w:rPr>
          <w:rFonts w:ascii="Seaford" w:hAnsi="Seaford"/>
          <w:sz w:val="24"/>
          <w:szCs w:val="24"/>
        </w:rPr>
        <w:t>by Kathryn Riley, Professor of Urban Education at IOE</w:t>
      </w:r>
    </w:p>
    <w:p w14:paraId="6039AB41" w14:textId="0901DB6C" w:rsidR="008800B5" w:rsidRPr="008B5DFD" w:rsidRDefault="008F4440" w:rsidP="008B5DFD">
      <w:pPr>
        <w:pStyle w:val="Heading1"/>
        <w:numPr>
          <w:ilvl w:val="0"/>
          <w:numId w:val="24"/>
        </w:numPr>
        <w:rPr>
          <w:rFonts w:ascii="Seaford" w:hAnsi="Seaford" w:cstheme="majorHAnsi"/>
          <w:sz w:val="24"/>
          <w:szCs w:val="24"/>
        </w:rPr>
      </w:pPr>
      <w:bookmarkStart w:id="3" w:name="_Toc239670465"/>
      <w:r w:rsidRPr="008B5DFD">
        <w:rPr>
          <w:rFonts w:ascii="Seaford" w:hAnsi="Seaford" w:cstheme="majorHAnsi"/>
          <w:sz w:val="24"/>
          <w:szCs w:val="24"/>
        </w:rPr>
        <w:lastRenderedPageBreak/>
        <w:t>Theoretical Foundations</w:t>
      </w:r>
      <w:bookmarkEnd w:id="3"/>
      <w:r w:rsidR="00F673C5" w:rsidRPr="008B5DFD">
        <w:rPr>
          <w:rFonts w:ascii="Seaford" w:hAnsi="Seaford" w:cstheme="majorHAnsi"/>
          <w:sz w:val="24"/>
          <w:szCs w:val="24"/>
        </w:rPr>
        <w:t xml:space="preserve"> </w:t>
      </w:r>
    </w:p>
    <w:p w14:paraId="017FC1C7" w14:textId="4EC8FD32" w:rsidR="00F673C5" w:rsidRPr="00404623" w:rsidRDefault="001A2796" w:rsidP="00F673C5">
      <w:pPr>
        <w:rPr>
          <w:rFonts w:ascii="Seaford" w:hAnsi="Seaford"/>
          <w:sz w:val="24"/>
          <w:szCs w:val="24"/>
        </w:rPr>
      </w:pPr>
      <w:r w:rsidRPr="00404623">
        <w:rPr>
          <w:rFonts w:ascii="Seaford" w:hAnsi="Seaford"/>
          <w:noProof/>
          <w:color w:val="212121"/>
          <w:sz w:val="24"/>
          <w:szCs w:val="24"/>
        </w:rPr>
        <w:drawing>
          <wp:anchor distT="0" distB="0" distL="114300" distR="114300" simplePos="0" relativeHeight="251653120" behindDoc="1" locked="0" layoutInCell="1" allowOverlap="1" wp14:anchorId="3FFFEA36" wp14:editId="479B7273">
            <wp:simplePos x="0" y="0"/>
            <wp:positionH relativeFrom="margin">
              <wp:posOffset>3486150</wp:posOffset>
            </wp:positionH>
            <wp:positionV relativeFrom="paragraph">
              <wp:posOffset>268605</wp:posOffset>
            </wp:positionV>
            <wp:extent cx="2185182" cy="2055176"/>
            <wp:effectExtent l="0" t="0" r="5715" b="2540"/>
            <wp:wrapTight wrapText="bothSides">
              <wp:wrapPolygon edited="0">
                <wp:start x="0" y="0"/>
                <wp:lineTo x="0" y="21426"/>
                <wp:lineTo x="21468" y="21426"/>
                <wp:lineTo x="21468" y="0"/>
                <wp:lineTo x="0" y="0"/>
              </wp:wrapPolygon>
            </wp:wrapTight>
            <wp:docPr id="427038869" name="Picture 1" descr="A yellow and blue sign with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38869" name="Picture 1" descr="A yellow and blue sign with black text"/>
                    <pic:cNvPicPr/>
                  </pic:nvPicPr>
                  <pic:blipFill rotWithShape="1">
                    <a:blip r:embed="rId13"/>
                    <a:srcRect t="15881" b="21419"/>
                    <a:stretch>
                      <a:fillRect/>
                    </a:stretch>
                  </pic:blipFill>
                  <pic:spPr bwMode="auto">
                    <a:xfrm>
                      <a:off x="0" y="0"/>
                      <a:ext cx="2185182" cy="20551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FFDAA3" w14:textId="72C8E2A6" w:rsidR="00326D36" w:rsidRPr="00404623" w:rsidRDefault="5400C2FE" w:rsidP="5C782B01">
      <w:pPr>
        <w:rPr>
          <w:rFonts w:ascii="Seaford" w:eastAsia="Cambria" w:hAnsi="Seaford" w:cs="Cambria"/>
          <w:i/>
          <w:iCs/>
          <w:sz w:val="24"/>
          <w:szCs w:val="24"/>
        </w:rPr>
      </w:pPr>
      <w:r w:rsidRPr="00404623">
        <w:rPr>
          <w:rFonts w:ascii="Seaford" w:eastAsia="Cambria" w:hAnsi="Seaford" w:cs="Cambria"/>
          <w:i/>
          <w:iCs/>
          <w:sz w:val="24"/>
          <w:szCs w:val="24"/>
        </w:rPr>
        <w:t xml:space="preserve">What </w:t>
      </w:r>
      <w:proofErr w:type="gramStart"/>
      <w:r w:rsidRPr="00404623">
        <w:rPr>
          <w:rFonts w:ascii="Seaford" w:eastAsia="Cambria" w:hAnsi="Seaford" w:cs="Cambria"/>
          <w:i/>
          <w:iCs/>
          <w:sz w:val="24"/>
          <w:szCs w:val="24"/>
        </w:rPr>
        <w:t>is</w:t>
      </w:r>
      <w:proofErr w:type="gramEnd"/>
      <w:r w:rsidRPr="00404623">
        <w:rPr>
          <w:rFonts w:ascii="Seaford" w:eastAsia="Cambria" w:hAnsi="Seaford" w:cs="Cambria"/>
          <w:i/>
          <w:iCs/>
          <w:sz w:val="24"/>
          <w:szCs w:val="24"/>
        </w:rPr>
        <w:t xml:space="preserve"> school </w:t>
      </w:r>
      <w:proofErr w:type="gramStart"/>
      <w:r w:rsidRPr="00404623">
        <w:rPr>
          <w:rFonts w:ascii="Seaford" w:eastAsia="Cambria" w:hAnsi="Seaford" w:cs="Cambria"/>
          <w:i/>
          <w:iCs/>
          <w:sz w:val="24"/>
          <w:szCs w:val="24"/>
        </w:rPr>
        <w:t>belongin</w:t>
      </w:r>
      <w:r w:rsidR="00A35061" w:rsidRPr="00404623">
        <w:rPr>
          <w:rFonts w:ascii="Seaford" w:eastAsia="Cambria" w:hAnsi="Seaford" w:cs="Cambria"/>
          <w:i/>
          <w:iCs/>
          <w:sz w:val="24"/>
          <w:szCs w:val="24"/>
        </w:rPr>
        <w:t>g</w:t>
      </w:r>
      <w:proofErr w:type="gramEnd"/>
      <w:r w:rsidRPr="00404623">
        <w:rPr>
          <w:rFonts w:ascii="Seaford" w:eastAsia="Cambria" w:hAnsi="Seaford" w:cs="Cambria"/>
          <w:i/>
          <w:iCs/>
          <w:sz w:val="24"/>
          <w:szCs w:val="24"/>
        </w:rPr>
        <w:t xml:space="preserve">? </w:t>
      </w:r>
    </w:p>
    <w:p w14:paraId="59AA75F7" w14:textId="2414AFC4" w:rsidR="00326D36" w:rsidRPr="00404623" w:rsidRDefault="147144D0" w:rsidP="5C782B01">
      <w:pPr>
        <w:spacing w:after="160"/>
        <w:rPr>
          <w:rFonts w:ascii="Seaford" w:eastAsia="Aptos" w:hAnsi="Seaford" w:cs="Aptos"/>
          <w:sz w:val="24"/>
          <w:szCs w:val="24"/>
        </w:rPr>
      </w:pPr>
      <w:r w:rsidRPr="00404623">
        <w:rPr>
          <w:rFonts w:ascii="Seaford" w:eastAsia="Aptos" w:hAnsi="Seaford" w:cs="Aptos"/>
          <w:sz w:val="24"/>
          <w:szCs w:val="24"/>
        </w:rPr>
        <w:t>School belongin</w:t>
      </w:r>
      <w:r w:rsidR="00432CD5" w:rsidRPr="00404623">
        <w:rPr>
          <w:rFonts w:ascii="Seaford" w:eastAsia="Aptos" w:hAnsi="Seaford" w:cs="Aptos"/>
          <w:sz w:val="24"/>
          <w:szCs w:val="24"/>
        </w:rPr>
        <w:t>g</w:t>
      </w:r>
      <w:r w:rsidRPr="00404623">
        <w:rPr>
          <w:rFonts w:ascii="Seaford" w:eastAsia="Aptos" w:hAnsi="Seaford" w:cs="Aptos"/>
          <w:sz w:val="24"/>
          <w:szCs w:val="24"/>
        </w:rPr>
        <w:t xml:space="preserve"> is the degree to which students feel accepted, valued, and included within their school community. It plays a vital role in supporting student wellbeing, attendance, and engagement. When students feel a genuine sense of belonging, they are more likely to thrive both academically and socially.</w:t>
      </w:r>
    </w:p>
    <w:p w14:paraId="06C4E63D" w14:textId="3309DA20" w:rsidR="00326D36" w:rsidRPr="00404623" w:rsidRDefault="47C6F9F0" w:rsidP="5C782B01">
      <w:pPr>
        <w:spacing w:after="160"/>
        <w:rPr>
          <w:rFonts w:ascii="Seaford" w:eastAsia="Aptos" w:hAnsi="Seaford" w:cs="Aptos"/>
          <w:sz w:val="24"/>
          <w:szCs w:val="24"/>
        </w:rPr>
      </w:pPr>
      <w:r w:rsidRPr="00404623">
        <w:rPr>
          <w:rFonts w:ascii="Seaford" w:eastAsia="Aptos" w:hAnsi="Seaford" w:cs="Aptos"/>
          <w:sz w:val="24"/>
          <w:szCs w:val="24"/>
        </w:rPr>
        <w:t xml:space="preserve">This is not a new concept, and schools already support belonging through </w:t>
      </w:r>
      <w:r w:rsidR="1FED5FC0" w:rsidRPr="00404623">
        <w:rPr>
          <w:rFonts w:ascii="Seaford" w:eastAsia="Aptos" w:hAnsi="Seaford" w:cs="Aptos"/>
          <w:sz w:val="24"/>
          <w:szCs w:val="24"/>
        </w:rPr>
        <w:t>everyday practices such a</w:t>
      </w:r>
      <w:r w:rsidR="1B4503B6" w:rsidRPr="00404623">
        <w:rPr>
          <w:rFonts w:ascii="Seaford" w:eastAsia="Aptos" w:hAnsi="Seaford" w:cs="Aptos"/>
          <w:sz w:val="24"/>
          <w:szCs w:val="24"/>
        </w:rPr>
        <w:t>s:</w:t>
      </w:r>
    </w:p>
    <w:p w14:paraId="0D49738F" w14:textId="5282A18B" w:rsidR="00326D36" w:rsidRPr="00404623" w:rsidRDefault="1B4503B6" w:rsidP="5C782B01">
      <w:pPr>
        <w:pStyle w:val="ListParagraph"/>
        <w:numPr>
          <w:ilvl w:val="0"/>
          <w:numId w:val="1"/>
        </w:numPr>
        <w:shd w:val="clear" w:color="auto" w:fill="FAFAFA"/>
        <w:spacing w:after="0" w:line="300" w:lineRule="auto"/>
        <w:rPr>
          <w:rFonts w:ascii="Seaford" w:eastAsia="Aptos" w:hAnsi="Seaford" w:cs="Aptos"/>
          <w:sz w:val="24"/>
          <w:szCs w:val="24"/>
        </w:rPr>
      </w:pPr>
      <w:r w:rsidRPr="00404623">
        <w:rPr>
          <w:rFonts w:ascii="Seaford" w:eastAsia="Aptos" w:hAnsi="Seaford" w:cs="Aptos"/>
          <w:sz w:val="24"/>
          <w:szCs w:val="24"/>
        </w:rPr>
        <w:t xml:space="preserve">Building </w:t>
      </w:r>
      <w:r w:rsidRPr="00404623">
        <w:rPr>
          <w:rFonts w:ascii="Seaford" w:eastAsia="Aptos" w:hAnsi="Seaford" w:cs="Aptos"/>
          <w:b/>
          <w:bCs/>
          <w:sz w:val="24"/>
          <w:szCs w:val="24"/>
        </w:rPr>
        <w:t>positive relationships</w:t>
      </w:r>
      <w:r w:rsidRPr="00404623">
        <w:rPr>
          <w:rFonts w:ascii="Seaford" w:eastAsia="Aptos" w:hAnsi="Seaford" w:cs="Aptos"/>
          <w:sz w:val="24"/>
          <w:szCs w:val="24"/>
        </w:rPr>
        <w:t xml:space="preserve"> between staff and students.</w:t>
      </w:r>
    </w:p>
    <w:p w14:paraId="1253701C" w14:textId="6F3DC090" w:rsidR="00326D36" w:rsidRPr="00404623" w:rsidRDefault="1B4503B6" w:rsidP="5C782B01">
      <w:pPr>
        <w:pStyle w:val="ListParagraph"/>
        <w:numPr>
          <w:ilvl w:val="0"/>
          <w:numId w:val="1"/>
        </w:numPr>
        <w:shd w:val="clear" w:color="auto" w:fill="FAFAFA"/>
        <w:spacing w:after="0" w:line="300" w:lineRule="auto"/>
        <w:rPr>
          <w:rFonts w:ascii="Seaford" w:eastAsia="Aptos" w:hAnsi="Seaford" w:cs="Aptos"/>
          <w:sz w:val="24"/>
          <w:szCs w:val="24"/>
        </w:rPr>
      </w:pPr>
      <w:r w:rsidRPr="00404623">
        <w:rPr>
          <w:rFonts w:ascii="Seaford" w:eastAsia="Aptos" w:hAnsi="Seaford" w:cs="Aptos"/>
          <w:sz w:val="24"/>
          <w:szCs w:val="24"/>
        </w:rPr>
        <w:t xml:space="preserve">Creating </w:t>
      </w:r>
      <w:r w:rsidRPr="00404623">
        <w:rPr>
          <w:rFonts w:ascii="Seaford" w:eastAsia="Aptos" w:hAnsi="Seaford" w:cs="Aptos"/>
          <w:b/>
          <w:bCs/>
          <w:sz w:val="24"/>
          <w:szCs w:val="24"/>
        </w:rPr>
        <w:t>inclusive classroom environments</w:t>
      </w:r>
      <w:r w:rsidRPr="00404623">
        <w:rPr>
          <w:rFonts w:ascii="Seaford" w:eastAsia="Aptos" w:hAnsi="Seaford" w:cs="Aptos"/>
          <w:sz w:val="24"/>
          <w:szCs w:val="24"/>
        </w:rPr>
        <w:t xml:space="preserve"> that celebrate diversity.</w:t>
      </w:r>
    </w:p>
    <w:p w14:paraId="764A8D83" w14:textId="79B2C662" w:rsidR="00326D36" w:rsidRPr="00404623" w:rsidRDefault="1B4503B6" w:rsidP="5C782B01">
      <w:pPr>
        <w:pStyle w:val="ListParagraph"/>
        <w:numPr>
          <w:ilvl w:val="0"/>
          <w:numId w:val="1"/>
        </w:numPr>
        <w:shd w:val="clear" w:color="auto" w:fill="FAFAFA"/>
        <w:spacing w:after="0" w:line="300" w:lineRule="auto"/>
        <w:rPr>
          <w:rFonts w:ascii="Seaford" w:eastAsia="Aptos" w:hAnsi="Seaford" w:cs="Aptos"/>
          <w:sz w:val="24"/>
          <w:szCs w:val="24"/>
        </w:rPr>
      </w:pPr>
      <w:r w:rsidRPr="00404623">
        <w:rPr>
          <w:rFonts w:ascii="Seaford" w:eastAsia="Aptos" w:hAnsi="Seaford" w:cs="Aptos"/>
          <w:sz w:val="24"/>
          <w:szCs w:val="24"/>
        </w:rPr>
        <w:t xml:space="preserve">Providing </w:t>
      </w:r>
      <w:r w:rsidRPr="00404623">
        <w:rPr>
          <w:rFonts w:ascii="Seaford" w:eastAsia="Aptos" w:hAnsi="Seaford" w:cs="Aptos"/>
          <w:b/>
          <w:bCs/>
          <w:sz w:val="24"/>
          <w:szCs w:val="24"/>
        </w:rPr>
        <w:t>pastoral support and mentoring</w:t>
      </w:r>
      <w:r w:rsidRPr="00404623">
        <w:rPr>
          <w:rFonts w:ascii="Seaford" w:eastAsia="Aptos" w:hAnsi="Seaford" w:cs="Aptos"/>
          <w:sz w:val="24"/>
          <w:szCs w:val="24"/>
        </w:rPr>
        <w:t xml:space="preserve"> to meet individual needs.</w:t>
      </w:r>
    </w:p>
    <w:p w14:paraId="02DD90B0" w14:textId="604B83A5" w:rsidR="00326D36" w:rsidRPr="00404623" w:rsidRDefault="1B4503B6" w:rsidP="5C782B01">
      <w:pPr>
        <w:pStyle w:val="ListParagraph"/>
        <w:numPr>
          <w:ilvl w:val="0"/>
          <w:numId w:val="1"/>
        </w:numPr>
        <w:shd w:val="clear" w:color="auto" w:fill="FAFAFA"/>
        <w:spacing w:after="0" w:line="300" w:lineRule="auto"/>
        <w:rPr>
          <w:rFonts w:ascii="Seaford" w:eastAsia="Aptos" w:hAnsi="Seaford" w:cs="Aptos"/>
          <w:sz w:val="24"/>
          <w:szCs w:val="24"/>
        </w:rPr>
      </w:pPr>
      <w:r w:rsidRPr="00404623">
        <w:rPr>
          <w:rFonts w:ascii="Seaford" w:eastAsia="Aptos" w:hAnsi="Seaford" w:cs="Aptos"/>
          <w:sz w:val="24"/>
          <w:szCs w:val="24"/>
        </w:rPr>
        <w:t xml:space="preserve">Encouraging </w:t>
      </w:r>
      <w:r w:rsidRPr="00404623">
        <w:rPr>
          <w:rFonts w:ascii="Seaford" w:eastAsia="Aptos" w:hAnsi="Seaford" w:cs="Aptos"/>
          <w:b/>
          <w:bCs/>
          <w:sz w:val="24"/>
          <w:szCs w:val="24"/>
        </w:rPr>
        <w:t>student voice</w:t>
      </w:r>
      <w:r w:rsidRPr="00404623">
        <w:rPr>
          <w:rFonts w:ascii="Seaford" w:eastAsia="Aptos" w:hAnsi="Seaford" w:cs="Aptos"/>
          <w:sz w:val="24"/>
          <w:szCs w:val="24"/>
        </w:rPr>
        <w:t xml:space="preserve"> through initiatives like school councils and peer-led activities.</w:t>
      </w:r>
    </w:p>
    <w:p w14:paraId="6CD86947" w14:textId="3B25A360" w:rsidR="00326D36" w:rsidRPr="00404623" w:rsidRDefault="00326D36" w:rsidP="5C782B01">
      <w:pPr>
        <w:spacing w:after="160"/>
        <w:rPr>
          <w:rFonts w:ascii="Seaford" w:eastAsia="Aptos" w:hAnsi="Seaford" w:cs="Aptos"/>
          <w:sz w:val="24"/>
          <w:szCs w:val="24"/>
        </w:rPr>
      </w:pPr>
    </w:p>
    <w:p w14:paraId="0310FB8B" w14:textId="7BE2C359" w:rsidR="00326D36" w:rsidRPr="00404623" w:rsidRDefault="47C6F9F0" w:rsidP="5C782B01">
      <w:pPr>
        <w:spacing w:after="160"/>
        <w:rPr>
          <w:rFonts w:ascii="Seaford" w:eastAsia="Aptos" w:hAnsi="Seaford" w:cs="Aptos"/>
          <w:sz w:val="24"/>
          <w:szCs w:val="24"/>
        </w:rPr>
      </w:pPr>
      <w:r w:rsidRPr="00404623">
        <w:rPr>
          <w:rFonts w:ascii="Seaford" w:eastAsia="Aptos" w:hAnsi="Seaford" w:cs="Aptos"/>
          <w:sz w:val="24"/>
          <w:szCs w:val="24"/>
        </w:rPr>
        <w:t xml:space="preserve">Strengthening these areas can make a meaningful difference, especially in secondary settings where identity and peer dynamics become more complex. </w:t>
      </w:r>
    </w:p>
    <w:p w14:paraId="31C91D64" w14:textId="0300BFC1" w:rsidR="00326D36" w:rsidRPr="00404623" w:rsidRDefault="00326D36" w:rsidP="5C782B01">
      <w:pPr>
        <w:spacing w:after="160"/>
        <w:rPr>
          <w:rFonts w:ascii="Seaford" w:eastAsia="Aptos" w:hAnsi="Seaford" w:cs="Aptos"/>
          <w:sz w:val="24"/>
          <w:szCs w:val="24"/>
        </w:rPr>
      </w:pPr>
      <w:r w:rsidRPr="00404623">
        <w:rPr>
          <w:rFonts w:ascii="Seaford" w:hAnsi="Seaford"/>
          <w:sz w:val="24"/>
          <w:szCs w:val="24"/>
        </w:rPr>
        <w:t>Theoretical Foundations:</w:t>
      </w:r>
    </w:p>
    <w:p w14:paraId="5D160085" w14:textId="6D062137" w:rsidR="57955B3B" w:rsidRPr="00404623" w:rsidRDefault="57955B3B" w:rsidP="5C782B01">
      <w:pPr>
        <w:rPr>
          <w:rFonts w:ascii="Seaford" w:eastAsia="Aptos" w:hAnsi="Seaford" w:cs="Aptos"/>
          <w:sz w:val="24"/>
          <w:szCs w:val="24"/>
        </w:rPr>
      </w:pPr>
      <w:r w:rsidRPr="00404623">
        <w:rPr>
          <w:rFonts w:ascii="Seaford" w:eastAsia="Aptos" w:hAnsi="Seaford" w:cs="Aptos"/>
          <w:sz w:val="24"/>
          <w:szCs w:val="24"/>
        </w:rPr>
        <w:t>School belongingness is grounded in psychological and educational theories that highlight the importance of feeling connected to others and valued within a community. Key ideas include:</w:t>
      </w:r>
    </w:p>
    <w:p w14:paraId="7FD96278" w14:textId="30BA75CA" w:rsidR="009A7E5D" w:rsidRDefault="009A7E5D" w:rsidP="004E2803">
      <w:pPr>
        <w:rPr>
          <w:rFonts w:ascii="Seaford" w:hAnsi="Seaford"/>
          <w:sz w:val="24"/>
          <w:szCs w:val="24"/>
        </w:rPr>
      </w:pPr>
      <w:r w:rsidRPr="00404623">
        <w:rPr>
          <w:rFonts w:ascii="Seaford" w:hAnsi="Seaford"/>
          <w:sz w:val="24"/>
          <w:szCs w:val="24"/>
        </w:rPr>
        <w:t xml:space="preserve">-Belonging is a </w:t>
      </w:r>
      <w:r w:rsidRPr="008931A0">
        <w:rPr>
          <w:rFonts w:ascii="Seaford" w:hAnsi="Seaford"/>
          <w:sz w:val="24"/>
          <w:szCs w:val="24"/>
        </w:rPr>
        <w:t>fundamental human need</w:t>
      </w:r>
      <w:r w:rsidR="00755519" w:rsidRPr="00404623">
        <w:rPr>
          <w:rFonts w:ascii="Seaford" w:hAnsi="Seaford"/>
          <w:sz w:val="24"/>
          <w:szCs w:val="24"/>
        </w:rPr>
        <w:t xml:space="preserve">. This links to </w:t>
      </w:r>
      <w:r w:rsidRPr="00404623">
        <w:rPr>
          <w:rFonts w:ascii="Seaford" w:hAnsi="Seaford"/>
          <w:b/>
          <w:bCs/>
          <w:sz w:val="24"/>
          <w:szCs w:val="24"/>
        </w:rPr>
        <w:t>Maslow’s hierarchy of needs</w:t>
      </w:r>
      <w:r w:rsidR="00C32445">
        <w:rPr>
          <w:rFonts w:ascii="Seaford" w:hAnsi="Seaford"/>
          <w:b/>
          <w:bCs/>
          <w:sz w:val="24"/>
          <w:szCs w:val="24"/>
        </w:rPr>
        <w:t xml:space="preserve"> </w:t>
      </w:r>
      <w:r w:rsidR="00C32445" w:rsidRPr="00C32445">
        <w:rPr>
          <w:rFonts w:ascii="Seaford" w:hAnsi="Seaford"/>
          <w:sz w:val="24"/>
          <w:szCs w:val="24"/>
        </w:rPr>
        <w:t xml:space="preserve">(see </w:t>
      </w:r>
      <w:r w:rsidR="00CD2F7F">
        <w:rPr>
          <w:rFonts w:ascii="Seaford" w:hAnsi="Seaford"/>
          <w:sz w:val="24"/>
          <w:szCs w:val="24"/>
        </w:rPr>
        <w:t>figure 1</w:t>
      </w:r>
      <w:r w:rsidR="00C32445" w:rsidRPr="00C32445">
        <w:rPr>
          <w:rFonts w:ascii="Seaford" w:hAnsi="Seaford"/>
          <w:sz w:val="24"/>
          <w:szCs w:val="24"/>
        </w:rPr>
        <w:t>)</w:t>
      </w:r>
      <w:r w:rsidRPr="00C32445">
        <w:rPr>
          <w:rFonts w:ascii="Seaford" w:hAnsi="Seaford"/>
          <w:sz w:val="24"/>
          <w:szCs w:val="24"/>
        </w:rPr>
        <w:t>,</w:t>
      </w:r>
      <w:r w:rsidRPr="00404623">
        <w:rPr>
          <w:rFonts w:ascii="Seaford" w:hAnsi="Seaford"/>
          <w:sz w:val="24"/>
          <w:szCs w:val="24"/>
        </w:rPr>
        <w:t xml:space="preserve"> where a sense of love and belonging is essential for self-esteem and self-actualization.</w:t>
      </w:r>
    </w:p>
    <w:p w14:paraId="46A0435E" w14:textId="1EC3F8E7" w:rsidR="00C32445" w:rsidRPr="00404623" w:rsidRDefault="00EA5B13" w:rsidP="004E2803">
      <w:pPr>
        <w:rPr>
          <w:rFonts w:ascii="Seaford" w:hAnsi="Seaford"/>
          <w:sz w:val="24"/>
          <w:szCs w:val="24"/>
        </w:rPr>
      </w:pPr>
      <w:r w:rsidRPr="00EA5B13">
        <w:rPr>
          <w:rFonts w:ascii="Seaford" w:hAnsi="Seaford"/>
          <w:noProof/>
          <w:sz w:val="24"/>
          <w:szCs w:val="24"/>
        </w:rPr>
        <w:lastRenderedPageBreak/>
        <w:drawing>
          <wp:anchor distT="0" distB="0" distL="114300" distR="114300" simplePos="0" relativeHeight="251676672" behindDoc="1" locked="0" layoutInCell="1" allowOverlap="1" wp14:anchorId="7122E811" wp14:editId="1C78132E">
            <wp:simplePos x="0" y="0"/>
            <wp:positionH relativeFrom="column">
              <wp:posOffset>0</wp:posOffset>
            </wp:positionH>
            <wp:positionV relativeFrom="paragraph">
              <wp:posOffset>0</wp:posOffset>
            </wp:positionV>
            <wp:extent cx="5486400" cy="3105150"/>
            <wp:effectExtent l="0" t="0" r="0" b="0"/>
            <wp:wrapTight wrapText="bothSides">
              <wp:wrapPolygon edited="0">
                <wp:start x="0" y="0"/>
                <wp:lineTo x="0" y="21467"/>
                <wp:lineTo x="21525" y="21467"/>
                <wp:lineTo x="21525" y="0"/>
                <wp:lineTo x="0" y="0"/>
              </wp:wrapPolygon>
            </wp:wrapTight>
            <wp:docPr id="1026" name="Picture 2" descr="See the source image">
              <a:extLst xmlns:a="http://schemas.openxmlformats.org/drawingml/2006/main">
                <a:ext uri="{FF2B5EF4-FFF2-40B4-BE49-F238E27FC236}">
                  <a16:creationId xmlns:a16="http://schemas.microsoft.com/office/drawing/2014/main" id="{315FB0A6-A3F8-4FC5-88C4-DC9D3E6470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See the source image">
                      <a:extLst>
                        <a:ext uri="{FF2B5EF4-FFF2-40B4-BE49-F238E27FC236}">
                          <a16:creationId xmlns:a16="http://schemas.microsoft.com/office/drawing/2014/main" id="{315FB0A6-A3F8-4FC5-88C4-DC9D3E64704F}"/>
                        </a:ext>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l="3580" t="4322" r="2070" b="20204"/>
                    <a:stretch>
                      <a:fillRect/>
                    </a:stretch>
                  </pic:blipFill>
                  <pic:spPr bwMode="auto">
                    <a:xfrm>
                      <a:off x="0" y="0"/>
                      <a:ext cx="5486400" cy="3105150"/>
                    </a:xfrm>
                    <a:prstGeom prst="rect">
                      <a:avLst/>
                    </a:prstGeom>
                    <a:noFill/>
                    <a:ln>
                      <a:noFill/>
                    </a:ln>
                    <a:extLst>
                      <a:ext uri="{53640926-AAD7-44D8-BBD7-CCE9431645EC}">
                        <a14:shadowObscured xmlns:a14="http://schemas.microsoft.com/office/drawing/2010/main"/>
                      </a:ext>
                    </a:extLst>
                  </pic:spPr>
                </pic:pic>
              </a:graphicData>
            </a:graphic>
          </wp:anchor>
        </w:drawing>
      </w:r>
      <w:r w:rsidR="00BA1BE8" w:rsidRPr="00BA1BE8">
        <w:rPr>
          <w:rFonts w:ascii="Seaford" w:hAnsi="Seaford"/>
          <w:i/>
          <w:iCs/>
          <w:sz w:val="24"/>
          <w:szCs w:val="24"/>
        </w:rPr>
        <w:t>Figure 1</w:t>
      </w:r>
      <w:r w:rsidR="00BA1BE8">
        <w:rPr>
          <w:rFonts w:ascii="Seaford" w:hAnsi="Seaford"/>
          <w:sz w:val="24"/>
          <w:szCs w:val="24"/>
        </w:rPr>
        <w:t xml:space="preserve">. Maslow’s Hierarchy of needs </w:t>
      </w:r>
    </w:p>
    <w:p w14:paraId="27060A5D" w14:textId="244EDAD3" w:rsidR="00EC7A24" w:rsidRPr="00404623" w:rsidRDefault="00F65DB9" w:rsidP="004E2803">
      <w:pPr>
        <w:rPr>
          <w:rFonts w:ascii="Seaford" w:hAnsi="Seaford"/>
          <w:sz w:val="24"/>
          <w:szCs w:val="24"/>
        </w:rPr>
      </w:pPr>
      <w:r w:rsidRPr="00404623">
        <w:rPr>
          <w:rFonts w:ascii="Seaford" w:hAnsi="Seaford"/>
          <w:noProof/>
          <w:sz w:val="24"/>
          <w:szCs w:val="24"/>
        </w:rPr>
        <w:drawing>
          <wp:anchor distT="0" distB="0" distL="114300" distR="114300" simplePos="0" relativeHeight="251652096" behindDoc="1" locked="0" layoutInCell="1" allowOverlap="1" wp14:anchorId="262BB1F0" wp14:editId="6DB7B5A7">
            <wp:simplePos x="0" y="0"/>
            <wp:positionH relativeFrom="column">
              <wp:posOffset>3340100</wp:posOffset>
            </wp:positionH>
            <wp:positionV relativeFrom="paragraph">
              <wp:posOffset>7620</wp:posOffset>
            </wp:positionV>
            <wp:extent cx="2975610" cy="3985260"/>
            <wp:effectExtent l="19050" t="19050" r="15240" b="15240"/>
            <wp:wrapTight wrapText="bothSides">
              <wp:wrapPolygon edited="0">
                <wp:start x="-138" y="-103"/>
                <wp:lineTo x="-138" y="21579"/>
                <wp:lineTo x="21572" y="21579"/>
                <wp:lineTo x="21572" y="-103"/>
                <wp:lineTo x="-138" y="-103"/>
              </wp:wrapPolygon>
            </wp:wrapTight>
            <wp:docPr id="809780421" name="Picture 1" descr="Socio-Ecological Model of School Belonging (Allen, Vella-Brodrick, &amp; Waters,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80421" name="Picture 1" descr="Socio-Ecological Model of School Belonging (Allen, Vella-Brodrick, &amp; Waters, 2018).  "/>
                    <pic:cNvPicPr/>
                  </pic:nvPicPr>
                  <pic:blipFill>
                    <a:blip r:embed="rId15"/>
                    <a:stretch>
                      <a:fillRect/>
                    </a:stretch>
                  </pic:blipFill>
                  <pic:spPr>
                    <a:xfrm>
                      <a:off x="0" y="0"/>
                      <a:ext cx="2975610" cy="398526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26D36" w:rsidRPr="00404623">
        <w:rPr>
          <w:rFonts w:ascii="Seaford" w:hAnsi="Seaford"/>
          <w:sz w:val="24"/>
          <w:szCs w:val="24"/>
        </w:rPr>
        <w:t xml:space="preserve">- </w:t>
      </w:r>
      <w:r w:rsidR="00DC459A" w:rsidRPr="00404623">
        <w:rPr>
          <w:rFonts w:ascii="Seaford" w:hAnsi="Seaford"/>
          <w:b/>
          <w:bCs/>
          <w:sz w:val="24"/>
          <w:szCs w:val="24"/>
        </w:rPr>
        <w:t>Socio-Ecological Model of School Belonging (</w:t>
      </w:r>
      <w:r w:rsidR="000B1EE5" w:rsidRPr="00404623">
        <w:rPr>
          <w:rFonts w:ascii="Seaford" w:hAnsi="Seaford"/>
          <w:b/>
          <w:bCs/>
          <w:sz w:val="24"/>
          <w:szCs w:val="24"/>
        </w:rPr>
        <w:t>Allen</w:t>
      </w:r>
      <w:r w:rsidR="00D67363" w:rsidRPr="00404623">
        <w:rPr>
          <w:rFonts w:ascii="Seaford" w:hAnsi="Seaford"/>
          <w:b/>
          <w:bCs/>
          <w:sz w:val="24"/>
          <w:szCs w:val="24"/>
        </w:rPr>
        <w:t xml:space="preserve"> et al., 2016)</w:t>
      </w:r>
      <w:r w:rsidR="00356E69" w:rsidRPr="00404623">
        <w:rPr>
          <w:rFonts w:ascii="Seaford" w:hAnsi="Seaford"/>
          <w:b/>
          <w:bCs/>
          <w:sz w:val="24"/>
          <w:szCs w:val="24"/>
        </w:rPr>
        <w:t xml:space="preserve"> </w:t>
      </w:r>
      <w:r w:rsidR="00356E69" w:rsidRPr="00404623">
        <w:rPr>
          <w:rFonts w:ascii="Seaford" w:hAnsi="Seaford"/>
          <w:sz w:val="24"/>
          <w:szCs w:val="24"/>
        </w:rPr>
        <w:t xml:space="preserve">provides a </w:t>
      </w:r>
      <w:r w:rsidR="00C52CC9" w:rsidRPr="00404623">
        <w:rPr>
          <w:rFonts w:ascii="Seaford" w:hAnsi="Seaford"/>
          <w:sz w:val="24"/>
          <w:szCs w:val="24"/>
        </w:rPr>
        <w:t>systemic</w:t>
      </w:r>
      <w:r w:rsidR="00A61B34" w:rsidRPr="00404623">
        <w:rPr>
          <w:rFonts w:ascii="Seaford" w:hAnsi="Seaford"/>
          <w:sz w:val="24"/>
          <w:szCs w:val="24"/>
        </w:rPr>
        <w:t xml:space="preserve"> definition of school belonging </w:t>
      </w:r>
      <w:r w:rsidR="00C44230" w:rsidRPr="00404623">
        <w:rPr>
          <w:rFonts w:ascii="Seaford" w:hAnsi="Seaford"/>
          <w:sz w:val="24"/>
          <w:szCs w:val="24"/>
        </w:rPr>
        <w:t xml:space="preserve">as </w:t>
      </w:r>
      <w:r w:rsidR="00A61B34" w:rsidRPr="00404623">
        <w:rPr>
          <w:rFonts w:ascii="Seaford" w:hAnsi="Seaford"/>
          <w:sz w:val="24"/>
          <w:szCs w:val="24"/>
        </w:rPr>
        <w:t>“a student’s sense of affiliation to his or her school, influenced by</w:t>
      </w:r>
      <w:r w:rsidR="00A61B34" w:rsidRPr="00404623">
        <w:rPr>
          <w:rFonts w:ascii="Seaford" w:hAnsi="Seaford"/>
          <w:b/>
          <w:bCs/>
          <w:sz w:val="24"/>
          <w:szCs w:val="24"/>
        </w:rPr>
        <w:t xml:space="preserve"> </w:t>
      </w:r>
      <w:r w:rsidR="00A61B34" w:rsidRPr="00404623">
        <w:rPr>
          <w:rFonts w:ascii="Seaford" w:hAnsi="Seaford"/>
          <w:sz w:val="24"/>
          <w:szCs w:val="24"/>
        </w:rPr>
        <w:t>individual, relational and organizational factors insider a broader school community</w:t>
      </w:r>
      <w:r w:rsidR="00084695" w:rsidRPr="00404623">
        <w:rPr>
          <w:rFonts w:ascii="Seaford" w:hAnsi="Seaford"/>
          <w:sz w:val="24"/>
          <w:szCs w:val="24"/>
        </w:rPr>
        <w:t xml:space="preserve"> and within a political, cultural and geographical landscape unique to each school setting”</w:t>
      </w:r>
      <w:r w:rsidR="00084695" w:rsidRPr="00404623">
        <w:rPr>
          <w:rFonts w:ascii="Seaford" w:hAnsi="Seaford"/>
          <w:b/>
          <w:bCs/>
          <w:sz w:val="24"/>
          <w:szCs w:val="24"/>
        </w:rPr>
        <w:t xml:space="preserve"> </w:t>
      </w:r>
      <w:r w:rsidR="00C52CC9" w:rsidRPr="00404623">
        <w:rPr>
          <w:rFonts w:ascii="Seaford" w:hAnsi="Seaford"/>
          <w:sz w:val="24"/>
          <w:szCs w:val="24"/>
        </w:rPr>
        <w:t xml:space="preserve">(p.98). </w:t>
      </w:r>
      <w:r w:rsidR="00EC7A24" w:rsidRPr="00404623">
        <w:rPr>
          <w:rFonts w:ascii="Seaford" w:hAnsi="Seaford"/>
          <w:sz w:val="24"/>
          <w:szCs w:val="24"/>
        </w:rPr>
        <w:t>This model is grounded in Bronfenbrenner’s ecological systems theory and identifies five interconnected levels that influence a student’s sense of belonging:</w:t>
      </w:r>
    </w:p>
    <w:p w14:paraId="5B4875D6" w14:textId="3C3370F7" w:rsidR="005428EB" w:rsidRPr="00404623" w:rsidRDefault="009E64A6" w:rsidP="004E2803">
      <w:pPr>
        <w:rPr>
          <w:rFonts w:ascii="Seaford" w:hAnsi="Seaford"/>
          <w:sz w:val="24"/>
          <w:szCs w:val="24"/>
        </w:rPr>
      </w:pPr>
      <w:r w:rsidRPr="00404623">
        <w:rPr>
          <w:rFonts w:ascii="Seaford" w:hAnsi="Seaford"/>
          <w:i/>
          <w:iCs/>
          <w:sz w:val="24"/>
          <w:szCs w:val="24"/>
        </w:rPr>
        <w:t xml:space="preserve">Figure </w:t>
      </w:r>
      <w:r w:rsidR="00BA1BE8">
        <w:rPr>
          <w:rFonts w:ascii="Seaford" w:hAnsi="Seaford"/>
          <w:i/>
          <w:iCs/>
          <w:sz w:val="24"/>
          <w:szCs w:val="24"/>
        </w:rPr>
        <w:t>2</w:t>
      </w:r>
      <w:r w:rsidRPr="00404623">
        <w:rPr>
          <w:rFonts w:ascii="Seaford" w:hAnsi="Seaford"/>
          <w:sz w:val="24"/>
          <w:szCs w:val="24"/>
        </w:rPr>
        <w:t>. S</w:t>
      </w:r>
      <w:r w:rsidR="005428EB" w:rsidRPr="00404623">
        <w:rPr>
          <w:rFonts w:ascii="Seaford" w:hAnsi="Seaford"/>
          <w:sz w:val="24"/>
          <w:szCs w:val="24"/>
        </w:rPr>
        <w:t>ocio-Ecological Model of School Belonging (</w:t>
      </w:r>
      <w:r w:rsidR="00D524AF" w:rsidRPr="00404623">
        <w:rPr>
          <w:rFonts w:ascii="Seaford" w:hAnsi="Seaford"/>
          <w:sz w:val="24"/>
          <w:szCs w:val="24"/>
        </w:rPr>
        <w:t>Allen, Vella-Brodrick, &amp; Waters,</w:t>
      </w:r>
      <w:r w:rsidR="00381ED5" w:rsidRPr="00404623">
        <w:rPr>
          <w:rFonts w:ascii="Seaford" w:hAnsi="Seaford"/>
          <w:sz w:val="24"/>
          <w:szCs w:val="24"/>
        </w:rPr>
        <w:t xml:space="preserve"> 2018</w:t>
      </w:r>
      <w:r w:rsidR="005428EB" w:rsidRPr="00404623">
        <w:rPr>
          <w:rFonts w:ascii="Seaford" w:hAnsi="Seaford"/>
          <w:sz w:val="24"/>
          <w:szCs w:val="24"/>
        </w:rPr>
        <w:t xml:space="preserve">).  </w:t>
      </w:r>
    </w:p>
    <w:p w14:paraId="47D2E040" w14:textId="2E15C36F" w:rsidR="0079058B" w:rsidRPr="00404623" w:rsidRDefault="00766620" w:rsidP="004E2803">
      <w:pPr>
        <w:rPr>
          <w:rFonts w:ascii="Seaford" w:hAnsi="Seaford"/>
          <w:color w:val="212121"/>
          <w:sz w:val="24"/>
          <w:szCs w:val="24"/>
        </w:rPr>
      </w:pPr>
      <w:r w:rsidRPr="00404623">
        <w:rPr>
          <w:rFonts w:ascii="Seaford" w:hAnsi="Seaford"/>
          <w:color w:val="212121"/>
          <w:sz w:val="24"/>
          <w:szCs w:val="24"/>
        </w:rPr>
        <w:t>-</w:t>
      </w:r>
      <w:r w:rsidRPr="00404623">
        <w:rPr>
          <w:rFonts w:ascii="Seaford" w:hAnsi="Seaford"/>
          <w:b/>
          <w:bCs/>
          <w:color w:val="212121"/>
          <w:sz w:val="24"/>
          <w:szCs w:val="24"/>
        </w:rPr>
        <w:t>Self-Determination Theory (SDT), developed by Deci and Ryan</w:t>
      </w:r>
      <w:r w:rsidRPr="00404623">
        <w:rPr>
          <w:rFonts w:ascii="Seaford" w:hAnsi="Seaford"/>
          <w:color w:val="212121"/>
          <w:sz w:val="24"/>
          <w:szCs w:val="24"/>
        </w:rPr>
        <w:t>, posits that human motivation and psychological well-being are driven by the fulfillment of three basic psychological needs: autonomy, competence, and relatedness. The need for relatedness—feeling connected to others and experiencing a sense of belonging—</w:t>
      </w:r>
      <w:r w:rsidRPr="00404623">
        <w:rPr>
          <w:rFonts w:ascii="Seaford" w:hAnsi="Seaford"/>
          <w:color w:val="212121"/>
          <w:sz w:val="24"/>
          <w:szCs w:val="24"/>
        </w:rPr>
        <w:lastRenderedPageBreak/>
        <w:t>is particularly relevant in educational settings. When students feel that they are genuinely cared for, accepted, and included by peers and teachers, their sense of relatedness is fulfilled, which in turn enhances their intrinsic motivation to engage in learning. In this way, SDT provides a strong theoretical foundation for understanding why fostering school belonging is essential: it not only supports emotional well-being but also promotes deeper engagement, resilience, and academic success.</w:t>
      </w:r>
    </w:p>
    <w:p w14:paraId="41371D82" w14:textId="41769514" w:rsidR="00333E36" w:rsidRPr="00404623" w:rsidRDefault="00C82868" w:rsidP="004E2803">
      <w:pPr>
        <w:rPr>
          <w:rFonts w:ascii="Seaford" w:hAnsi="Seaford"/>
          <w:b/>
          <w:bCs/>
          <w:color w:val="212121"/>
          <w:sz w:val="24"/>
          <w:szCs w:val="24"/>
        </w:rPr>
      </w:pPr>
      <w:r w:rsidRPr="00404623">
        <w:rPr>
          <w:rFonts w:ascii="Seaford" w:hAnsi="Seaford"/>
          <w:b/>
          <w:bCs/>
          <w:color w:val="212121"/>
          <w:sz w:val="24"/>
          <w:szCs w:val="24"/>
        </w:rPr>
        <w:t>-Attachment and belonging</w:t>
      </w:r>
      <w:r w:rsidR="00333E36" w:rsidRPr="00404623">
        <w:rPr>
          <w:rFonts w:ascii="Seaford" w:hAnsi="Seaford"/>
          <w:b/>
          <w:bCs/>
          <w:color w:val="212121"/>
          <w:sz w:val="24"/>
          <w:szCs w:val="24"/>
        </w:rPr>
        <w:t xml:space="preserve">. </w:t>
      </w:r>
      <w:r w:rsidR="00333E36" w:rsidRPr="00404623">
        <w:rPr>
          <w:rFonts w:ascii="Seaford" w:hAnsi="Seaford"/>
          <w:color w:val="212121"/>
          <w:sz w:val="24"/>
          <w:szCs w:val="24"/>
        </w:rPr>
        <w:t>Attachment theory, originally developed by Bowlby</w:t>
      </w:r>
      <w:r w:rsidR="001D6E64" w:rsidRPr="00404623">
        <w:rPr>
          <w:rFonts w:ascii="Seaford" w:hAnsi="Seaford"/>
          <w:color w:val="212121"/>
          <w:sz w:val="24"/>
          <w:szCs w:val="24"/>
        </w:rPr>
        <w:t xml:space="preserve"> (Ainsworth</w:t>
      </w:r>
      <w:r w:rsidR="00333E36" w:rsidRPr="00404623">
        <w:rPr>
          <w:rFonts w:ascii="Seaford" w:hAnsi="Seaford"/>
          <w:color w:val="212121"/>
          <w:sz w:val="24"/>
          <w:szCs w:val="24"/>
        </w:rPr>
        <w:t>,</w:t>
      </w:r>
      <w:r w:rsidR="001D6E64" w:rsidRPr="00404623">
        <w:rPr>
          <w:rFonts w:ascii="Seaford" w:hAnsi="Seaford"/>
          <w:color w:val="212121"/>
          <w:sz w:val="24"/>
          <w:szCs w:val="24"/>
        </w:rPr>
        <w:t xml:space="preserve"> 1978)</w:t>
      </w:r>
      <w:r w:rsidR="00333E36" w:rsidRPr="00404623">
        <w:rPr>
          <w:rFonts w:ascii="Seaford" w:hAnsi="Seaford"/>
          <w:color w:val="212121"/>
          <w:sz w:val="24"/>
          <w:szCs w:val="24"/>
        </w:rPr>
        <w:t xml:space="preserve"> explains how early relationships with caregivers shape a person's ability to form secure connections. In educational contexts, this theory has been extended to understand how students form emotional bonds with their school environment—teachers, peers, and the school itself.</w:t>
      </w:r>
      <w:r w:rsidR="00755519" w:rsidRPr="00404623">
        <w:rPr>
          <w:rFonts w:ascii="Seaford" w:hAnsi="Seaford"/>
          <w:b/>
          <w:bCs/>
          <w:color w:val="212121"/>
          <w:sz w:val="24"/>
          <w:szCs w:val="24"/>
        </w:rPr>
        <w:t xml:space="preserve"> </w:t>
      </w:r>
      <w:r w:rsidR="00333E36" w:rsidRPr="00404623">
        <w:rPr>
          <w:rFonts w:ascii="Seaford" w:hAnsi="Seaford"/>
          <w:b/>
          <w:bCs/>
          <w:color w:val="212121"/>
          <w:sz w:val="24"/>
          <w:szCs w:val="24"/>
        </w:rPr>
        <w:t xml:space="preserve">Cooper (2008) </w:t>
      </w:r>
      <w:r w:rsidR="00333E36" w:rsidRPr="00404623">
        <w:rPr>
          <w:rFonts w:ascii="Seaford" w:hAnsi="Seaford"/>
          <w:color w:val="212121"/>
          <w:sz w:val="24"/>
          <w:szCs w:val="24"/>
        </w:rPr>
        <w:t>developed a framework linking student attachment to school with emotional wellbeing and engagement. According to this view:</w:t>
      </w:r>
    </w:p>
    <w:p w14:paraId="478021DA" w14:textId="74E1FA20" w:rsidR="00333E36" w:rsidRPr="00404623" w:rsidRDefault="00333E36" w:rsidP="00C84FB3">
      <w:pPr>
        <w:pStyle w:val="ListParagraph"/>
        <w:numPr>
          <w:ilvl w:val="0"/>
          <w:numId w:val="43"/>
        </w:numPr>
        <w:rPr>
          <w:rFonts w:ascii="Seaford" w:hAnsi="Seaford"/>
          <w:color w:val="212121"/>
          <w:sz w:val="24"/>
          <w:szCs w:val="24"/>
        </w:rPr>
      </w:pPr>
      <w:r w:rsidRPr="00404623">
        <w:rPr>
          <w:rFonts w:ascii="Seaford" w:hAnsi="Seaford"/>
          <w:color w:val="212121"/>
          <w:sz w:val="24"/>
          <w:szCs w:val="24"/>
        </w:rPr>
        <w:t>A secure attachment to school mirrors the safety and trust found in healthy caregiver relationships.</w:t>
      </w:r>
    </w:p>
    <w:p w14:paraId="558E922C" w14:textId="72EBD83D" w:rsidR="00C82868" w:rsidRDefault="00833F05" w:rsidP="00C84FB3">
      <w:pPr>
        <w:pStyle w:val="ListParagraph"/>
        <w:numPr>
          <w:ilvl w:val="0"/>
          <w:numId w:val="43"/>
        </w:numPr>
        <w:rPr>
          <w:rFonts w:ascii="Seaford" w:hAnsi="Seaford"/>
          <w:color w:val="212121"/>
          <w:sz w:val="24"/>
          <w:szCs w:val="24"/>
        </w:rPr>
      </w:pPr>
      <w:r w:rsidRPr="00106688">
        <w:rPr>
          <w:rFonts w:ascii="Seaford" w:hAnsi="Seaford"/>
          <w:noProof/>
          <w:color w:val="212121"/>
          <w:sz w:val="24"/>
          <w:szCs w:val="24"/>
        </w:rPr>
        <w:drawing>
          <wp:anchor distT="0" distB="0" distL="114300" distR="114300" simplePos="0" relativeHeight="251679744" behindDoc="1" locked="0" layoutInCell="1" allowOverlap="1" wp14:anchorId="3A839BD2" wp14:editId="61FA1A35">
            <wp:simplePos x="0" y="0"/>
            <wp:positionH relativeFrom="page">
              <wp:posOffset>3527425</wp:posOffset>
            </wp:positionH>
            <wp:positionV relativeFrom="paragraph">
              <wp:posOffset>440690</wp:posOffset>
            </wp:positionV>
            <wp:extent cx="3531870" cy="3600450"/>
            <wp:effectExtent l="0" t="0" r="0" b="0"/>
            <wp:wrapTight wrapText="bothSides">
              <wp:wrapPolygon edited="0">
                <wp:start x="0" y="0"/>
                <wp:lineTo x="0" y="21486"/>
                <wp:lineTo x="21437" y="21486"/>
                <wp:lineTo x="21437" y="0"/>
                <wp:lineTo x="0" y="0"/>
              </wp:wrapPolygon>
            </wp:wrapTight>
            <wp:docPr id="2" name="Picture 1" descr="Chart&#10;&#10;Description automatically generated with low confidence">
              <a:extLst xmlns:a="http://schemas.openxmlformats.org/drawingml/2006/main">
                <a:ext uri="{FF2B5EF4-FFF2-40B4-BE49-F238E27FC236}">
                  <a16:creationId xmlns:a16="http://schemas.microsoft.com/office/drawing/2014/main" id="{2F9B4324-6A9E-1BA3-3DE1-41260DFD6C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hart&#10;&#10;Description automatically generated with low confidence">
                      <a:extLst>
                        <a:ext uri="{FF2B5EF4-FFF2-40B4-BE49-F238E27FC236}">
                          <a16:creationId xmlns:a16="http://schemas.microsoft.com/office/drawing/2014/main" id="{2F9B4324-6A9E-1BA3-3DE1-41260DFD6C2B}"/>
                        </a:ext>
                      </a:extLst>
                    </pic:cNvPr>
                    <pic:cNvPicPr>
                      <a:picLocks noChangeAspect="1"/>
                    </pic:cNvPicPr>
                  </pic:nvPicPr>
                  <pic:blipFill rotWithShape="1">
                    <a:blip r:embed="rId16">
                      <a:extLst>
                        <a:ext uri="{28A0092B-C50C-407E-A947-70E740481C1C}">
                          <a14:useLocalDpi xmlns:a14="http://schemas.microsoft.com/office/drawing/2010/main" val="0"/>
                        </a:ext>
                      </a:extLst>
                    </a:blip>
                    <a:srcRect t="27480" b="27642"/>
                    <a:stretch/>
                  </pic:blipFill>
                  <pic:spPr>
                    <a:xfrm>
                      <a:off x="0" y="0"/>
                      <a:ext cx="3531870" cy="3600450"/>
                    </a:xfrm>
                    <a:prstGeom prst="rect">
                      <a:avLst/>
                    </a:prstGeom>
                  </pic:spPr>
                </pic:pic>
              </a:graphicData>
            </a:graphic>
            <wp14:sizeRelH relativeFrom="margin">
              <wp14:pctWidth>0</wp14:pctWidth>
            </wp14:sizeRelH>
            <wp14:sizeRelV relativeFrom="margin">
              <wp14:pctHeight>0</wp14:pctHeight>
            </wp14:sizeRelV>
          </wp:anchor>
        </w:drawing>
      </w:r>
      <w:r w:rsidR="00333E36" w:rsidRPr="00404623">
        <w:rPr>
          <w:rFonts w:ascii="Seaford" w:hAnsi="Seaford"/>
          <w:color w:val="212121"/>
          <w:sz w:val="24"/>
          <w:szCs w:val="24"/>
        </w:rPr>
        <w:t>Students who feel emotionally connected to their school are more likely to engage positively with learning and relationships.</w:t>
      </w:r>
    </w:p>
    <w:p w14:paraId="2132D214" w14:textId="4493BDF9" w:rsidR="00864779" w:rsidRPr="00D52C2A" w:rsidRDefault="00CE49AE" w:rsidP="00864779">
      <w:pPr>
        <w:rPr>
          <w:rFonts w:ascii="Seaford" w:hAnsi="Seaford"/>
          <w:b/>
          <w:bCs/>
          <w:color w:val="212121"/>
          <w:sz w:val="24"/>
          <w:szCs w:val="24"/>
        </w:rPr>
      </w:pPr>
      <w:r w:rsidRPr="00D52C2A">
        <w:rPr>
          <w:rFonts w:ascii="Seaford" w:hAnsi="Seaford"/>
          <w:b/>
          <w:bCs/>
          <w:color w:val="212121"/>
          <w:sz w:val="24"/>
          <w:szCs w:val="24"/>
        </w:rPr>
        <w:t>-</w:t>
      </w:r>
      <w:r w:rsidR="00864779" w:rsidRPr="00D52C2A">
        <w:rPr>
          <w:rFonts w:ascii="Seaford" w:hAnsi="Seaford"/>
          <w:b/>
          <w:bCs/>
          <w:color w:val="212121"/>
          <w:sz w:val="24"/>
          <w:szCs w:val="24"/>
        </w:rPr>
        <w:t>Identity, Equity and School Belonging</w:t>
      </w:r>
    </w:p>
    <w:p w14:paraId="39D6EA19" w14:textId="654D60DE" w:rsidR="00833F05" w:rsidRPr="00A94229" w:rsidRDefault="00864779" w:rsidP="00833F05">
      <w:pPr>
        <w:rPr>
          <w:rFonts w:ascii="Seaford" w:hAnsi="Seaford"/>
          <w:color w:val="212121"/>
          <w:sz w:val="24"/>
          <w:szCs w:val="24"/>
        </w:rPr>
      </w:pPr>
      <w:r w:rsidRPr="00864779">
        <w:rPr>
          <w:rFonts w:ascii="Seaford" w:hAnsi="Seaford"/>
          <w:color w:val="212121"/>
          <w:sz w:val="24"/>
          <w:szCs w:val="24"/>
        </w:rPr>
        <w:t>A student's sense of belonging is influenced not only by relationships within school but also by their social identities and experiences beyond school. Factors such as race, ethnicity, language, culture, religion, disability, socioeconomic background, care experience,</w:t>
      </w:r>
      <w:r w:rsidR="00CE49AE">
        <w:rPr>
          <w:rFonts w:ascii="Seaford" w:hAnsi="Seaford"/>
          <w:color w:val="212121"/>
          <w:sz w:val="24"/>
          <w:szCs w:val="24"/>
        </w:rPr>
        <w:t xml:space="preserve"> poverty, </w:t>
      </w:r>
      <w:r w:rsidR="00CE49AE" w:rsidRPr="00864779">
        <w:rPr>
          <w:rFonts w:ascii="Seaford" w:hAnsi="Seaford"/>
          <w:color w:val="212121"/>
          <w:sz w:val="24"/>
          <w:szCs w:val="24"/>
        </w:rPr>
        <w:t>gender</w:t>
      </w:r>
      <w:r w:rsidRPr="00864779">
        <w:rPr>
          <w:rFonts w:ascii="Seaford" w:hAnsi="Seaford"/>
          <w:color w:val="212121"/>
          <w:sz w:val="24"/>
          <w:szCs w:val="24"/>
        </w:rPr>
        <w:t xml:space="preserve"> identity, and sexuality can shape how included, valued, and understood a young person feels.</w:t>
      </w:r>
      <w:r w:rsidR="00833F05" w:rsidRPr="00833F05">
        <w:rPr>
          <w:rFonts w:ascii="Seaford" w:hAnsi="Seaford"/>
          <w:i/>
          <w:iCs/>
          <w:color w:val="212121"/>
          <w:sz w:val="24"/>
          <w:szCs w:val="24"/>
        </w:rPr>
        <w:t xml:space="preserve"> </w:t>
      </w:r>
    </w:p>
    <w:p w14:paraId="07E67A73" w14:textId="04DFA231" w:rsidR="00864779" w:rsidRPr="00864779" w:rsidRDefault="00864779" w:rsidP="00864779">
      <w:pPr>
        <w:rPr>
          <w:rFonts w:ascii="Seaford" w:hAnsi="Seaford"/>
          <w:color w:val="212121"/>
          <w:sz w:val="24"/>
          <w:szCs w:val="24"/>
        </w:rPr>
      </w:pPr>
    </w:p>
    <w:p w14:paraId="4910856E" w14:textId="1A20EEC2" w:rsidR="00864779" w:rsidRDefault="00864779" w:rsidP="00864779">
      <w:pPr>
        <w:rPr>
          <w:rFonts w:ascii="Seaford" w:hAnsi="Seaford"/>
          <w:color w:val="212121"/>
          <w:sz w:val="24"/>
          <w:szCs w:val="24"/>
        </w:rPr>
      </w:pPr>
      <w:r w:rsidRPr="00864779">
        <w:rPr>
          <w:rFonts w:ascii="Seaford" w:hAnsi="Seaford"/>
          <w:color w:val="212121"/>
          <w:sz w:val="24"/>
          <w:szCs w:val="24"/>
        </w:rPr>
        <w:lastRenderedPageBreak/>
        <w:t>Drawing on Bronfenbrenner's ecological systems theory, school belonging is influenced by both immediate relationships and wider social, cultural, and political systems. Experiences of discrimination, exclusion, bias, or systemic inequalities can act as barriers to belonging, while inclusive and culturally responsive school environments can strengthen students' connection to school.</w:t>
      </w:r>
      <w:r w:rsidR="00106688">
        <w:rPr>
          <w:rFonts w:ascii="Seaford" w:hAnsi="Seaford"/>
          <w:color w:val="212121"/>
          <w:sz w:val="24"/>
          <w:szCs w:val="24"/>
        </w:rPr>
        <w:t xml:space="preserve"> The diagram </w:t>
      </w:r>
      <w:r w:rsidR="001B6916">
        <w:rPr>
          <w:rFonts w:ascii="Seaford" w:hAnsi="Seaford"/>
          <w:color w:val="212121"/>
          <w:sz w:val="24"/>
          <w:szCs w:val="24"/>
        </w:rPr>
        <w:t>above</w:t>
      </w:r>
      <w:r w:rsidR="00106688">
        <w:rPr>
          <w:rFonts w:ascii="Seaford" w:hAnsi="Seaford"/>
          <w:color w:val="212121"/>
          <w:sz w:val="24"/>
          <w:szCs w:val="24"/>
        </w:rPr>
        <w:t xml:space="preserve"> illustrates this model from a racial identity lens</w:t>
      </w:r>
      <w:r w:rsidR="007D010A">
        <w:rPr>
          <w:rFonts w:ascii="Seaford" w:hAnsi="Seaford"/>
          <w:color w:val="212121"/>
          <w:sz w:val="24"/>
          <w:szCs w:val="24"/>
        </w:rPr>
        <w:t xml:space="preserve"> adapted to focus on Black Youth development</w:t>
      </w:r>
      <w:r w:rsidR="00D30D34">
        <w:rPr>
          <w:rFonts w:ascii="Seaford" w:hAnsi="Seaford"/>
          <w:color w:val="212121"/>
          <w:sz w:val="24"/>
          <w:szCs w:val="24"/>
        </w:rPr>
        <w:t xml:space="preserve"> and attachment processes in context</w:t>
      </w:r>
      <w:r w:rsidR="00106688">
        <w:rPr>
          <w:rFonts w:ascii="Seaford" w:hAnsi="Seaford"/>
          <w:color w:val="212121"/>
          <w:sz w:val="24"/>
          <w:szCs w:val="24"/>
        </w:rPr>
        <w:t xml:space="preserve">. </w:t>
      </w:r>
    </w:p>
    <w:p w14:paraId="062852CE" w14:textId="77777777" w:rsidR="00F567B2" w:rsidRDefault="006A3010" w:rsidP="00F567B2">
      <w:pPr>
        <w:rPr>
          <w:rFonts w:ascii="Seaford" w:hAnsi="Seaford"/>
          <w:color w:val="212121"/>
          <w:sz w:val="24"/>
          <w:szCs w:val="24"/>
        </w:rPr>
      </w:pPr>
      <w:r>
        <w:rPr>
          <w:noProof/>
        </w:rPr>
        <w:drawing>
          <wp:anchor distT="0" distB="0" distL="114300" distR="114300" simplePos="0" relativeHeight="251680768" behindDoc="1" locked="0" layoutInCell="1" allowOverlap="1" wp14:anchorId="5269AC0F" wp14:editId="5CBB80CE">
            <wp:simplePos x="0" y="0"/>
            <wp:positionH relativeFrom="margin">
              <wp:posOffset>1238250</wp:posOffset>
            </wp:positionH>
            <wp:positionV relativeFrom="paragraph">
              <wp:posOffset>925195</wp:posOffset>
            </wp:positionV>
            <wp:extent cx="4159250" cy="4093845"/>
            <wp:effectExtent l="19050" t="19050" r="12700" b="20955"/>
            <wp:wrapTight wrapText="bothSides">
              <wp:wrapPolygon edited="0">
                <wp:start x="-99" y="-101"/>
                <wp:lineTo x="-99" y="21610"/>
                <wp:lineTo x="21567" y="21610"/>
                <wp:lineTo x="21567" y="-101"/>
                <wp:lineTo x="-99" y="-101"/>
              </wp:wrapPolygon>
            </wp:wrapTight>
            <wp:docPr id="17112469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59250" cy="4093845"/>
                    </a:xfrm>
                    <a:prstGeom prst="rect">
                      <a:avLst/>
                    </a:prstGeom>
                    <a:noFill/>
                    <a:ln>
                      <a:solidFill>
                        <a:schemeClr val="accent1"/>
                      </a:solidFill>
                    </a:ln>
                  </pic:spPr>
                </pic:pic>
              </a:graphicData>
            </a:graphic>
            <wp14:sizeRelH relativeFrom="margin">
              <wp14:pctWidth>0</wp14:pctWidth>
            </wp14:sizeRelH>
            <wp14:sizeRelV relativeFrom="margin">
              <wp14:pctHeight>0</wp14:pctHeight>
            </wp14:sizeRelV>
          </wp:anchor>
        </w:drawing>
      </w:r>
      <w:r w:rsidR="00864779" w:rsidRPr="00864779">
        <w:rPr>
          <w:rFonts w:ascii="Seaford" w:hAnsi="Seaford"/>
          <w:color w:val="212121"/>
          <w:sz w:val="24"/>
          <w:szCs w:val="24"/>
        </w:rPr>
        <w:t>The Social GRACES framework (Burnham, 2012) reminds us that each person brings multiple aspects of identity that influence how they experience the world. These identities may confer privilege or disadvantage</w:t>
      </w:r>
      <w:r w:rsidR="001A1999">
        <w:rPr>
          <w:rFonts w:ascii="Seaford" w:hAnsi="Seaford"/>
          <w:color w:val="212121"/>
          <w:sz w:val="24"/>
          <w:szCs w:val="24"/>
        </w:rPr>
        <w:t xml:space="preserve"> in different contexts</w:t>
      </w:r>
      <w:r w:rsidR="00864779" w:rsidRPr="00864779">
        <w:rPr>
          <w:rFonts w:ascii="Seaford" w:hAnsi="Seaford"/>
          <w:color w:val="212121"/>
          <w:sz w:val="24"/>
          <w:szCs w:val="24"/>
        </w:rPr>
        <w:t xml:space="preserve"> and can affect opportunities for participation, representation, and belonging. </w:t>
      </w:r>
    </w:p>
    <w:p w14:paraId="65BCD360" w14:textId="50591FDD" w:rsidR="00F567B2" w:rsidRDefault="00906A78" w:rsidP="00F567B2">
      <w:pPr>
        <w:rPr>
          <w:rFonts w:ascii="Seaford" w:hAnsi="Seaford"/>
          <w:color w:val="212121"/>
          <w:sz w:val="24"/>
          <w:szCs w:val="24"/>
        </w:rPr>
      </w:pPr>
      <w:r w:rsidRPr="00906A78">
        <w:rPr>
          <w:rFonts w:ascii="Seaford" w:hAnsi="Seaford"/>
          <w:color w:val="212121"/>
          <w:sz w:val="24"/>
          <w:szCs w:val="24"/>
        </w:rPr>
        <w:t xml:space="preserve">The Social </w:t>
      </w:r>
      <w:r w:rsidR="00F567B2" w:rsidRPr="00906A78">
        <w:rPr>
          <w:rFonts w:ascii="Seaford" w:hAnsi="Seaford"/>
          <w:color w:val="212121"/>
          <w:sz w:val="24"/>
          <w:szCs w:val="24"/>
        </w:rPr>
        <w:t xml:space="preserve">GRACES framework encourages us to reflect on </w:t>
      </w:r>
      <w:r w:rsidR="00F567B2">
        <w:rPr>
          <w:rFonts w:ascii="Seaford" w:hAnsi="Seaford"/>
          <w:color w:val="212121"/>
          <w:sz w:val="24"/>
          <w:szCs w:val="24"/>
        </w:rPr>
        <w:t xml:space="preserve">the </w:t>
      </w:r>
      <w:r w:rsidR="00F567B2" w:rsidRPr="00906A78">
        <w:rPr>
          <w:rFonts w:ascii="Seaford" w:hAnsi="Seaford"/>
          <w:color w:val="212121"/>
          <w:sz w:val="24"/>
          <w:szCs w:val="24"/>
        </w:rPr>
        <w:t xml:space="preserve">factors </w:t>
      </w:r>
      <w:r w:rsidR="00F567B2">
        <w:rPr>
          <w:rFonts w:ascii="Seaford" w:hAnsi="Seaford"/>
          <w:color w:val="212121"/>
          <w:sz w:val="24"/>
          <w:szCs w:val="24"/>
        </w:rPr>
        <w:t xml:space="preserve">described in the diagram below and </w:t>
      </w:r>
      <w:r w:rsidR="00F567B2" w:rsidRPr="00906A78">
        <w:rPr>
          <w:rFonts w:ascii="Seaford" w:hAnsi="Seaford"/>
          <w:color w:val="212121"/>
          <w:sz w:val="24"/>
          <w:szCs w:val="24"/>
        </w:rPr>
        <w:t>how these may influence a student's experience of belonging, participation, and inclusion.</w:t>
      </w:r>
    </w:p>
    <w:p w14:paraId="2A675988" w14:textId="1805FA1F" w:rsidR="006A3010" w:rsidRDefault="006A3010" w:rsidP="00906A78">
      <w:pPr>
        <w:rPr>
          <w:rFonts w:ascii="Seaford" w:hAnsi="Seaford"/>
          <w:color w:val="212121"/>
          <w:sz w:val="24"/>
          <w:szCs w:val="24"/>
        </w:rPr>
      </w:pPr>
    </w:p>
    <w:p w14:paraId="5F9462CC" w14:textId="77777777" w:rsidR="006A3010" w:rsidRDefault="006A3010" w:rsidP="00906A78">
      <w:pPr>
        <w:rPr>
          <w:rFonts w:ascii="Seaford" w:hAnsi="Seaford"/>
          <w:color w:val="212121"/>
          <w:sz w:val="24"/>
          <w:szCs w:val="24"/>
        </w:rPr>
      </w:pPr>
    </w:p>
    <w:p w14:paraId="79804C6C" w14:textId="77777777" w:rsidR="00F567B2" w:rsidRPr="00C14C49" w:rsidRDefault="00F567B2" w:rsidP="00F567B2">
      <w:pPr>
        <w:rPr>
          <w:rFonts w:ascii="Seaford" w:hAnsi="Seaford"/>
          <w:color w:val="212121"/>
          <w:sz w:val="24"/>
          <w:szCs w:val="24"/>
        </w:rPr>
      </w:pPr>
      <w:r w:rsidRPr="00876612">
        <w:rPr>
          <w:rFonts w:ascii="Seaford" w:hAnsi="Seaford"/>
          <w:i/>
          <w:iCs/>
          <w:color w:val="212121"/>
          <w:sz w:val="24"/>
          <w:szCs w:val="24"/>
        </w:rPr>
        <w:t>Figure 4</w:t>
      </w:r>
      <w:r>
        <w:rPr>
          <w:rFonts w:ascii="Seaford" w:hAnsi="Seaford"/>
          <w:color w:val="212121"/>
          <w:sz w:val="24"/>
          <w:szCs w:val="24"/>
        </w:rPr>
        <w:t xml:space="preserve">. Social Graces (Burnham </w:t>
      </w:r>
      <w:proofErr w:type="gramStart"/>
      <w:r>
        <w:rPr>
          <w:rFonts w:ascii="Seaford" w:hAnsi="Seaford"/>
          <w:color w:val="212121"/>
          <w:sz w:val="24"/>
          <w:szCs w:val="24"/>
        </w:rPr>
        <w:t>2012)Image</w:t>
      </w:r>
      <w:proofErr w:type="gramEnd"/>
      <w:r>
        <w:rPr>
          <w:rFonts w:ascii="Seaford" w:hAnsi="Seaford"/>
          <w:color w:val="212121"/>
          <w:sz w:val="24"/>
          <w:szCs w:val="24"/>
        </w:rPr>
        <w:t xml:space="preserve"> source: </w:t>
      </w:r>
      <w:hyperlink r:id="rId18" w:history="1">
        <w:r w:rsidRPr="008351D8">
          <w:rPr>
            <w:rStyle w:val="Hyperlink"/>
            <w:rFonts w:ascii="Seaford" w:hAnsi="Seaford"/>
            <w:sz w:val="24"/>
            <w:szCs w:val="24"/>
          </w:rPr>
          <w:t>A transcultural supervision activity - edpsy.org.uk</w:t>
        </w:r>
      </w:hyperlink>
    </w:p>
    <w:p w14:paraId="22076933" w14:textId="77777777" w:rsidR="006A3010" w:rsidRDefault="006A3010" w:rsidP="00906A78">
      <w:pPr>
        <w:rPr>
          <w:rFonts w:ascii="Seaford" w:hAnsi="Seaford"/>
          <w:color w:val="212121"/>
          <w:sz w:val="24"/>
          <w:szCs w:val="24"/>
        </w:rPr>
      </w:pPr>
    </w:p>
    <w:p w14:paraId="02DC473B" w14:textId="77777777" w:rsidR="006A3010" w:rsidRDefault="006A3010" w:rsidP="00906A78">
      <w:pPr>
        <w:rPr>
          <w:rFonts w:ascii="Seaford" w:hAnsi="Seaford"/>
          <w:color w:val="212121"/>
          <w:sz w:val="24"/>
          <w:szCs w:val="24"/>
        </w:rPr>
      </w:pPr>
    </w:p>
    <w:p w14:paraId="7CB27F41" w14:textId="77777777" w:rsidR="006A3010" w:rsidRDefault="006A3010" w:rsidP="00906A78">
      <w:pPr>
        <w:rPr>
          <w:rFonts w:ascii="Seaford" w:hAnsi="Seaford"/>
          <w:color w:val="212121"/>
          <w:sz w:val="24"/>
          <w:szCs w:val="24"/>
        </w:rPr>
      </w:pPr>
    </w:p>
    <w:p w14:paraId="6420335F" w14:textId="17DE6442" w:rsidR="00A06C32" w:rsidRPr="00404623" w:rsidRDefault="00F567B2" w:rsidP="5C782B01">
      <w:pPr>
        <w:pStyle w:val="Heading1"/>
        <w:numPr>
          <w:ilvl w:val="0"/>
          <w:numId w:val="24"/>
        </w:numPr>
        <w:rPr>
          <w:rFonts w:ascii="Seaford" w:eastAsia="Cambria" w:hAnsi="Seaford" w:cs="Cambria"/>
          <w:color w:val="auto"/>
          <w:sz w:val="24"/>
          <w:szCs w:val="24"/>
        </w:rPr>
      </w:pPr>
      <w:bookmarkStart w:id="4" w:name="_Toc239670466"/>
      <w:r>
        <w:rPr>
          <w:rFonts w:ascii="Seaford" w:eastAsia="Cambria" w:hAnsi="Seaford" w:cs="Cambria"/>
          <w:color w:val="auto"/>
          <w:sz w:val="24"/>
          <w:szCs w:val="24"/>
        </w:rPr>
        <w:t>W</w:t>
      </w:r>
      <w:r w:rsidR="65CEF0D6" w:rsidRPr="00404623">
        <w:rPr>
          <w:rFonts w:ascii="Seaford" w:eastAsia="Cambria" w:hAnsi="Seaford" w:cs="Cambria"/>
          <w:color w:val="auto"/>
          <w:sz w:val="24"/>
          <w:szCs w:val="24"/>
        </w:rPr>
        <w:t xml:space="preserve">hy </w:t>
      </w:r>
      <w:r w:rsidR="42B1DC2C" w:rsidRPr="00404623">
        <w:rPr>
          <w:rFonts w:ascii="Seaford" w:eastAsia="Cambria" w:hAnsi="Seaford" w:cs="Cambria"/>
          <w:color w:val="auto"/>
          <w:sz w:val="24"/>
          <w:szCs w:val="24"/>
        </w:rPr>
        <w:t>S</w:t>
      </w:r>
      <w:r w:rsidR="65CEF0D6" w:rsidRPr="00404623">
        <w:rPr>
          <w:rFonts w:ascii="Seaford" w:eastAsia="Cambria" w:hAnsi="Seaford" w:cs="Cambria"/>
          <w:color w:val="auto"/>
          <w:sz w:val="24"/>
          <w:szCs w:val="24"/>
        </w:rPr>
        <w:t xml:space="preserve">chool </w:t>
      </w:r>
      <w:r w:rsidR="3C94CE9B" w:rsidRPr="00404623">
        <w:rPr>
          <w:rFonts w:ascii="Seaford" w:eastAsia="Cambria" w:hAnsi="Seaford" w:cs="Cambria"/>
          <w:color w:val="auto"/>
          <w:sz w:val="24"/>
          <w:szCs w:val="24"/>
        </w:rPr>
        <w:t>B</w:t>
      </w:r>
      <w:r w:rsidR="65CEF0D6" w:rsidRPr="00404623">
        <w:rPr>
          <w:rFonts w:ascii="Seaford" w:eastAsia="Cambria" w:hAnsi="Seaford" w:cs="Cambria"/>
          <w:color w:val="auto"/>
          <w:sz w:val="24"/>
          <w:szCs w:val="24"/>
        </w:rPr>
        <w:t>elongin</w:t>
      </w:r>
      <w:r w:rsidR="2AE618C9" w:rsidRPr="00404623">
        <w:rPr>
          <w:rFonts w:ascii="Seaford" w:eastAsia="Cambria" w:hAnsi="Seaford" w:cs="Cambria"/>
          <w:color w:val="auto"/>
          <w:sz w:val="24"/>
          <w:szCs w:val="24"/>
        </w:rPr>
        <w:t>g</w:t>
      </w:r>
      <w:r w:rsidR="65CEF0D6" w:rsidRPr="00404623">
        <w:rPr>
          <w:rFonts w:ascii="Seaford" w:eastAsia="Cambria" w:hAnsi="Seaford" w:cs="Cambria"/>
          <w:color w:val="auto"/>
          <w:sz w:val="24"/>
          <w:szCs w:val="24"/>
        </w:rPr>
        <w:t xml:space="preserve"> </w:t>
      </w:r>
      <w:r w:rsidR="5B081316" w:rsidRPr="00404623">
        <w:rPr>
          <w:rFonts w:ascii="Seaford" w:eastAsia="Cambria" w:hAnsi="Seaford" w:cs="Cambria"/>
          <w:color w:val="auto"/>
          <w:sz w:val="24"/>
          <w:szCs w:val="24"/>
        </w:rPr>
        <w:t>M</w:t>
      </w:r>
      <w:r w:rsidR="65CEF0D6" w:rsidRPr="00404623">
        <w:rPr>
          <w:rFonts w:ascii="Seaford" w:eastAsia="Cambria" w:hAnsi="Seaford" w:cs="Cambria"/>
          <w:color w:val="auto"/>
          <w:sz w:val="24"/>
          <w:szCs w:val="24"/>
        </w:rPr>
        <w:t>atter</w:t>
      </w:r>
      <w:r w:rsidR="34C937AB" w:rsidRPr="00404623">
        <w:rPr>
          <w:rFonts w:ascii="Seaford" w:eastAsia="Cambria" w:hAnsi="Seaford" w:cs="Cambria"/>
          <w:color w:val="auto"/>
          <w:sz w:val="24"/>
          <w:szCs w:val="24"/>
        </w:rPr>
        <w:t>s: A Summary of Research Evidence</w:t>
      </w:r>
      <w:bookmarkEnd w:id="4"/>
    </w:p>
    <w:p w14:paraId="55734076" w14:textId="71D04F19" w:rsidR="006D4037" w:rsidRDefault="00512552" w:rsidP="5C782B01">
      <w:pPr>
        <w:spacing w:after="160"/>
        <w:rPr>
          <w:rFonts w:ascii="Seaford" w:eastAsia="Aptos" w:hAnsi="Seaford" w:cs="Aptos"/>
          <w:sz w:val="24"/>
          <w:szCs w:val="24"/>
        </w:rPr>
      </w:pPr>
      <w:r w:rsidRPr="00404623">
        <w:rPr>
          <w:rFonts w:ascii="Seaford" w:hAnsi="Seaford"/>
          <w:noProof/>
          <w:sz w:val="24"/>
          <w:szCs w:val="24"/>
        </w:rPr>
        <w:drawing>
          <wp:anchor distT="0" distB="0" distL="114300" distR="114300" simplePos="0" relativeHeight="251654144" behindDoc="1" locked="0" layoutInCell="1" allowOverlap="1" wp14:anchorId="3069432A" wp14:editId="15CB085C">
            <wp:simplePos x="0" y="0"/>
            <wp:positionH relativeFrom="page">
              <wp:posOffset>4762500</wp:posOffset>
            </wp:positionH>
            <wp:positionV relativeFrom="paragraph">
              <wp:posOffset>5080</wp:posOffset>
            </wp:positionV>
            <wp:extent cx="2115820" cy="2049145"/>
            <wp:effectExtent l="0" t="0" r="0" b="8255"/>
            <wp:wrapTight wrapText="bothSides">
              <wp:wrapPolygon edited="0">
                <wp:start x="0" y="0"/>
                <wp:lineTo x="0" y="21486"/>
                <wp:lineTo x="21393" y="21486"/>
                <wp:lineTo x="21393" y="0"/>
                <wp:lineTo x="0" y="0"/>
              </wp:wrapPolygon>
            </wp:wrapTight>
            <wp:docPr id="77087773" name="Picture 1" descr="A yellow and blue card with words and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7773" name="Picture 1" descr="A yellow and blue card with words and a magnifying glass&#10;&#10;AI-generated content may be incorrect."/>
                    <pic:cNvPicPr/>
                  </pic:nvPicPr>
                  <pic:blipFill rotWithShape="1">
                    <a:blip r:embed="rId19"/>
                    <a:srcRect l="-502" t="15892" r="502" b="19534"/>
                    <a:stretch>
                      <a:fillRect/>
                    </a:stretch>
                  </pic:blipFill>
                  <pic:spPr bwMode="auto">
                    <a:xfrm>
                      <a:off x="0" y="0"/>
                      <a:ext cx="2115820" cy="2049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C2A40C" w14:textId="6D69A2D9" w:rsidR="00A06C32" w:rsidRPr="00404623" w:rsidRDefault="1848E94E" w:rsidP="5C782B01">
      <w:pPr>
        <w:spacing w:after="160"/>
        <w:rPr>
          <w:rFonts w:ascii="Seaford" w:eastAsia="Aptos" w:hAnsi="Seaford" w:cs="Aptos"/>
          <w:sz w:val="24"/>
          <w:szCs w:val="24"/>
        </w:rPr>
      </w:pPr>
      <w:r w:rsidRPr="00404623">
        <w:rPr>
          <w:rFonts w:ascii="Seaford" w:eastAsia="Aptos" w:hAnsi="Seaford" w:cs="Aptos"/>
          <w:sz w:val="24"/>
          <w:szCs w:val="24"/>
        </w:rPr>
        <w:t>Research consistently shows that a strong sense of school belonging leads to a wide range of positive outcomes for students and for staff. Below is a summary of key findings, grouped into themes to support understanding</w:t>
      </w:r>
      <w:r w:rsidR="4936D9EA" w:rsidRPr="00404623">
        <w:rPr>
          <w:rFonts w:ascii="Seaford" w:eastAsia="Aptos" w:hAnsi="Seaford" w:cs="Aptos"/>
          <w:sz w:val="24"/>
          <w:szCs w:val="24"/>
        </w:rPr>
        <w:t xml:space="preserve">. </w:t>
      </w:r>
    </w:p>
    <w:p w14:paraId="1BC615A1" w14:textId="159F4238" w:rsidR="006A7221" w:rsidRPr="00404623" w:rsidRDefault="006A7221" w:rsidP="00A645DA">
      <w:pPr>
        <w:spacing w:after="160"/>
        <w:rPr>
          <w:rFonts w:ascii="Seaford" w:hAnsi="Seaford"/>
          <w:sz w:val="24"/>
          <w:szCs w:val="24"/>
          <w:lang w:val="en-GB"/>
        </w:rPr>
      </w:pPr>
      <w:r w:rsidRPr="00404623">
        <w:rPr>
          <w:rFonts w:ascii="Seaford" w:hAnsi="Seaford"/>
          <w:sz w:val="24"/>
          <w:szCs w:val="24"/>
          <w:lang w:val="en-GB"/>
        </w:rPr>
        <w:t>Research consistently shows that students who feel a strong sense of belonging at school tend to experience a range of positive outcomes. These includ</w:t>
      </w:r>
      <w:r w:rsidR="00131666" w:rsidRPr="00404623">
        <w:rPr>
          <w:rFonts w:ascii="Seaford" w:hAnsi="Seaford"/>
          <w:sz w:val="24"/>
          <w:szCs w:val="24"/>
          <w:lang w:val="en-GB"/>
        </w:rPr>
        <w:t>e</w:t>
      </w:r>
      <w:r w:rsidRPr="00404623">
        <w:rPr>
          <w:rFonts w:ascii="Seaford" w:hAnsi="Seaford"/>
          <w:sz w:val="24"/>
          <w:szCs w:val="24"/>
          <w:lang w:val="en-GB"/>
        </w:rPr>
        <w:t xml:space="preserve"> improvements in academic achievement and stronger motivation, such as a focus on learning and personal growth. Belonging is also linked to better social-emotional wellbeing, including higher self-esteem and confidence, as well as increased engagement in learning—both in behaviour and mindset. Additionally, students with a greater sense of belonging are less likely to be absent or drop out. These patterns hold true across different age groups and socioeconomic backgrounds, highlighting the important role belonging plays in students’ overall school experience</w:t>
      </w:r>
      <w:r w:rsidR="003514BD" w:rsidRPr="00404623">
        <w:rPr>
          <w:rFonts w:ascii="Seaford" w:hAnsi="Seaford"/>
          <w:sz w:val="24"/>
          <w:szCs w:val="24"/>
          <w:lang w:val="en-GB"/>
        </w:rPr>
        <w:t xml:space="preserve"> (</w:t>
      </w:r>
      <w:r w:rsidR="00131666" w:rsidRPr="00404623">
        <w:rPr>
          <w:rFonts w:ascii="Seaford" w:hAnsi="Seaford"/>
          <w:sz w:val="24"/>
          <w:szCs w:val="24"/>
          <w:lang w:val="en-GB"/>
        </w:rPr>
        <w:t>Korpershoek et al., 2020)</w:t>
      </w:r>
      <w:r w:rsidRPr="00404623">
        <w:rPr>
          <w:rFonts w:ascii="Seaford" w:hAnsi="Seaford"/>
          <w:sz w:val="24"/>
          <w:szCs w:val="24"/>
          <w:lang w:val="en-GB"/>
        </w:rPr>
        <w:t>.</w:t>
      </w:r>
    </w:p>
    <w:p w14:paraId="02F436AA" w14:textId="28B03F2F" w:rsidR="00A06C32" w:rsidRPr="00404623" w:rsidRDefault="00A06C32" w:rsidP="00E45F96">
      <w:pPr>
        <w:pStyle w:val="Heading2"/>
        <w:rPr>
          <w:rFonts w:ascii="Seaford" w:hAnsi="Seaford"/>
          <w:sz w:val="24"/>
          <w:szCs w:val="24"/>
          <w:lang w:val="en-GB"/>
        </w:rPr>
      </w:pPr>
      <w:bookmarkStart w:id="5" w:name="_Toc239670467"/>
      <w:r w:rsidRPr="00404623">
        <w:rPr>
          <w:rFonts w:ascii="Seaford" w:hAnsi="Seaford"/>
          <w:sz w:val="24"/>
          <w:szCs w:val="24"/>
          <w:lang w:val="en-GB"/>
        </w:rPr>
        <w:t>Academic Development &amp; Outcomes</w:t>
      </w:r>
      <w:bookmarkEnd w:id="5"/>
    </w:p>
    <w:p w14:paraId="5E17F13C" w14:textId="5C86C9A2" w:rsidR="00417905" w:rsidRPr="00404623" w:rsidRDefault="00552697" w:rsidP="00417905">
      <w:pPr>
        <w:rPr>
          <w:rFonts w:ascii="Seaford" w:hAnsi="Seaford"/>
          <w:sz w:val="24"/>
          <w:szCs w:val="24"/>
          <w:lang w:val="en-GB"/>
        </w:rPr>
      </w:pPr>
      <w:r w:rsidRPr="00404623">
        <w:rPr>
          <w:rFonts w:ascii="Seaford" w:hAnsi="Seaford"/>
          <w:sz w:val="24"/>
          <w:szCs w:val="24"/>
          <w:lang w:val="en-GB"/>
        </w:rPr>
        <w:t xml:space="preserve">A strong sense of belonging at school is a powerful driver of academic success. When students feel accepted, valued, and connected to their school community, they are more likely to engage positively with learning, show resilience in the face of challenges, and develop the confidence needed to reach their full potential. Belonging fosters emotional safety, which is essential for cognitive growth and motivation. Research consistently shows that students who feel they belong are more likely to attend school regularly, participate actively in class, and achieve higher academic outcomes. </w:t>
      </w:r>
      <w:r w:rsidR="00417905" w:rsidRPr="00404623">
        <w:rPr>
          <w:rFonts w:ascii="Seaford" w:hAnsi="Seaford"/>
          <w:sz w:val="24"/>
          <w:szCs w:val="24"/>
          <w:lang w:val="en-GB"/>
        </w:rPr>
        <w:t xml:space="preserve"> As such, belonging can have a positive impact on:</w:t>
      </w:r>
    </w:p>
    <w:p w14:paraId="1A65FF70" w14:textId="77777777" w:rsidR="001C6819" w:rsidRPr="00404623" w:rsidRDefault="00646005" w:rsidP="001C6819">
      <w:pPr>
        <w:pStyle w:val="Heading4"/>
        <w:rPr>
          <w:rFonts w:ascii="Seaford" w:hAnsi="Seaford"/>
          <w:sz w:val="24"/>
          <w:szCs w:val="24"/>
          <w:lang w:val="en-GB"/>
        </w:rPr>
      </w:pPr>
      <w:r w:rsidRPr="00404623">
        <w:rPr>
          <w:rFonts w:ascii="Seaford" w:hAnsi="Seaford"/>
          <w:sz w:val="24"/>
          <w:szCs w:val="24"/>
          <w:lang w:val="en-GB"/>
        </w:rPr>
        <w:t>-</w:t>
      </w:r>
      <w:r w:rsidR="00A06C32" w:rsidRPr="00404623">
        <w:rPr>
          <w:rFonts w:ascii="Seaford" w:hAnsi="Seaford"/>
          <w:sz w:val="24"/>
          <w:szCs w:val="24"/>
          <w:lang w:val="en-GB"/>
        </w:rPr>
        <w:t xml:space="preserve">Motivation &amp; Effort: </w:t>
      </w:r>
    </w:p>
    <w:p w14:paraId="6DE1BF3E" w14:textId="4CE22303" w:rsidR="00A06C32" w:rsidRPr="00404623" w:rsidRDefault="00A06C32" w:rsidP="00156542">
      <w:pPr>
        <w:rPr>
          <w:rFonts w:ascii="Seaford" w:hAnsi="Seaford"/>
          <w:sz w:val="24"/>
          <w:szCs w:val="24"/>
          <w:lang w:val="en-GB"/>
        </w:rPr>
      </w:pPr>
      <w:r w:rsidRPr="00404623">
        <w:rPr>
          <w:rFonts w:ascii="Seaford" w:hAnsi="Seaford"/>
          <w:sz w:val="24"/>
          <w:szCs w:val="24"/>
          <w:lang w:val="en-GB"/>
        </w:rPr>
        <w:t>Students’ drive to engage in schoolwork is closely tied to their sense of belonging.</w:t>
      </w:r>
    </w:p>
    <w:p w14:paraId="0872A32B" w14:textId="49FC4589" w:rsidR="00A06C32" w:rsidRPr="00404623" w:rsidRDefault="00646005" w:rsidP="001C6819">
      <w:pPr>
        <w:pStyle w:val="Heading4"/>
        <w:rPr>
          <w:rFonts w:ascii="Seaford" w:hAnsi="Seaford"/>
          <w:sz w:val="24"/>
          <w:szCs w:val="24"/>
          <w:lang w:val="en-GB"/>
        </w:rPr>
      </w:pPr>
      <w:r w:rsidRPr="00404623">
        <w:rPr>
          <w:rFonts w:ascii="Seaford" w:hAnsi="Seaford"/>
          <w:sz w:val="24"/>
          <w:szCs w:val="24"/>
          <w:lang w:val="en-GB"/>
        </w:rPr>
        <w:t>-</w:t>
      </w:r>
      <w:r w:rsidR="00A06C32" w:rsidRPr="00404623">
        <w:rPr>
          <w:rFonts w:ascii="Seaford" w:hAnsi="Seaford"/>
          <w:sz w:val="24"/>
          <w:szCs w:val="24"/>
          <w:lang w:val="en-GB"/>
        </w:rPr>
        <w:t>Positive Outcomes:</w:t>
      </w:r>
    </w:p>
    <w:p w14:paraId="30EA538E" w14:textId="71485805" w:rsidR="00A06C32" w:rsidRPr="00404623" w:rsidRDefault="00A06C32" w:rsidP="00144C4E">
      <w:pPr>
        <w:pStyle w:val="ListParagraph"/>
        <w:numPr>
          <w:ilvl w:val="0"/>
          <w:numId w:val="46"/>
        </w:numPr>
        <w:rPr>
          <w:rFonts w:ascii="Seaford" w:hAnsi="Seaford" w:cstheme="majorHAnsi"/>
          <w:sz w:val="24"/>
          <w:szCs w:val="24"/>
          <w:lang w:val="en-GB"/>
        </w:rPr>
      </w:pPr>
      <w:r w:rsidRPr="00404623">
        <w:rPr>
          <w:rFonts w:ascii="Seaford" w:hAnsi="Seaford" w:cstheme="majorHAnsi"/>
          <w:sz w:val="24"/>
          <w:szCs w:val="24"/>
          <w:lang w:val="en-GB"/>
        </w:rPr>
        <w:t>Academic success, social inclusion</w:t>
      </w:r>
      <w:r w:rsidR="00C3533C" w:rsidRPr="00404623">
        <w:rPr>
          <w:rFonts w:ascii="Seaford" w:hAnsi="Seaford" w:cstheme="majorHAnsi"/>
          <w:sz w:val="24"/>
          <w:szCs w:val="24"/>
          <w:lang w:val="en-GB"/>
        </w:rPr>
        <w:t>,</w:t>
      </w:r>
      <w:r w:rsidRPr="00404623">
        <w:rPr>
          <w:rFonts w:ascii="Seaford" w:hAnsi="Seaford" w:cstheme="majorHAnsi"/>
          <w:sz w:val="24"/>
          <w:szCs w:val="24"/>
          <w:lang w:val="en-GB"/>
        </w:rPr>
        <w:t xml:space="preserve"> life satisfaction</w:t>
      </w:r>
      <w:r w:rsidR="00C3533C" w:rsidRPr="00404623">
        <w:rPr>
          <w:rFonts w:ascii="Seaford" w:hAnsi="Seaford" w:cstheme="majorHAnsi"/>
          <w:sz w:val="24"/>
          <w:szCs w:val="24"/>
          <w:lang w:val="en-GB"/>
        </w:rPr>
        <w:t xml:space="preserve"> and socio-</w:t>
      </w:r>
      <w:r w:rsidR="00F70C8B" w:rsidRPr="00404623">
        <w:rPr>
          <w:rFonts w:ascii="Seaford" w:hAnsi="Seaford" w:cstheme="majorHAnsi"/>
          <w:sz w:val="24"/>
          <w:szCs w:val="24"/>
          <w:lang w:val="en-GB"/>
        </w:rPr>
        <w:t>emotional</w:t>
      </w:r>
      <w:r w:rsidR="00C3533C" w:rsidRPr="00404623">
        <w:rPr>
          <w:rFonts w:ascii="Seaford" w:hAnsi="Seaford" w:cstheme="majorHAnsi"/>
          <w:sz w:val="24"/>
          <w:szCs w:val="24"/>
          <w:lang w:val="en-GB"/>
        </w:rPr>
        <w:t xml:space="preserve"> health</w:t>
      </w:r>
      <w:r w:rsidRPr="00404623">
        <w:rPr>
          <w:rFonts w:ascii="Seaford" w:hAnsi="Seaford" w:cstheme="majorHAnsi"/>
          <w:sz w:val="24"/>
          <w:szCs w:val="24"/>
          <w:lang w:val="en-GB"/>
        </w:rPr>
        <w:t xml:space="preserve"> (Arslan et al., 2020; Brooms, </w:t>
      </w:r>
      <w:r w:rsidR="00104FEE" w:rsidRPr="00404623">
        <w:rPr>
          <w:rFonts w:ascii="Seaford" w:hAnsi="Seaford" w:cstheme="majorHAnsi"/>
          <w:sz w:val="24"/>
          <w:szCs w:val="24"/>
          <w:lang w:val="en-GB"/>
        </w:rPr>
        <w:t>2019; Castro</w:t>
      </w:r>
      <w:r w:rsidR="00F70C8B" w:rsidRPr="00404623">
        <w:rPr>
          <w:rFonts w:ascii="Seaford" w:hAnsi="Seaford" w:cstheme="majorHAnsi"/>
          <w:sz w:val="24"/>
          <w:szCs w:val="24"/>
          <w:lang w:val="en-GB"/>
        </w:rPr>
        <w:t>-Kemp et al</w:t>
      </w:r>
      <w:r w:rsidRPr="00404623">
        <w:rPr>
          <w:rFonts w:ascii="Seaford" w:hAnsi="Seaford" w:cstheme="majorHAnsi"/>
          <w:sz w:val="24"/>
          <w:szCs w:val="24"/>
          <w:lang w:val="en-GB"/>
        </w:rPr>
        <w:t>., 2020)</w:t>
      </w:r>
    </w:p>
    <w:p w14:paraId="28944B80" w14:textId="68F77C06" w:rsidR="00A06C32" w:rsidRPr="00404623" w:rsidRDefault="00A06C32" w:rsidP="00144C4E">
      <w:pPr>
        <w:pStyle w:val="ListParagraph"/>
        <w:numPr>
          <w:ilvl w:val="0"/>
          <w:numId w:val="46"/>
        </w:numPr>
        <w:rPr>
          <w:rFonts w:ascii="Seaford" w:hAnsi="Seaford" w:cstheme="majorHAnsi"/>
          <w:sz w:val="24"/>
          <w:szCs w:val="24"/>
          <w:lang w:val="en-GB"/>
        </w:rPr>
      </w:pPr>
      <w:r w:rsidRPr="00404623">
        <w:rPr>
          <w:rFonts w:ascii="Seaford" w:hAnsi="Seaford" w:cstheme="majorHAnsi"/>
          <w:sz w:val="24"/>
          <w:szCs w:val="24"/>
          <w:lang w:val="en-GB"/>
        </w:rPr>
        <w:lastRenderedPageBreak/>
        <w:t xml:space="preserve">Reduced absenteeism, misconduct, disengagement, and early school leaving (Allen et al., 2016; </w:t>
      </w:r>
      <w:r w:rsidR="004B63B1" w:rsidRPr="00404623">
        <w:rPr>
          <w:rFonts w:ascii="Seaford" w:hAnsi="Seaford" w:cstheme="majorHAnsi"/>
          <w:sz w:val="24"/>
          <w:szCs w:val="24"/>
          <w:lang w:val="en-GB"/>
        </w:rPr>
        <w:t>Ansari et al., 2025</w:t>
      </w:r>
      <w:r w:rsidRPr="00404623">
        <w:rPr>
          <w:rFonts w:ascii="Seaford" w:hAnsi="Seaford" w:cstheme="majorHAnsi"/>
          <w:sz w:val="24"/>
          <w:szCs w:val="24"/>
          <w:lang w:val="en-GB"/>
        </w:rPr>
        <w:t>)</w:t>
      </w:r>
    </w:p>
    <w:p w14:paraId="5C2129F7" w14:textId="77777777" w:rsidR="00A06C32" w:rsidRPr="00404623" w:rsidRDefault="00A06C32" w:rsidP="00144C4E">
      <w:pPr>
        <w:pStyle w:val="ListParagraph"/>
        <w:numPr>
          <w:ilvl w:val="0"/>
          <w:numId w:val="46"/>
        </w:numPr>
        <w:rPr>
          <w:rFonts w:ascii="Seaford" w:hAnsi="Seaford" w:cstheme="majorHAnsi"/>
          <w:sz w:val="24"/>
          <w:szCs w:val="24"/>
          <w:lang w:val="en-GB"/>
        </w:rPr>
      </w:pPr>
      <w:r w:rsidRPr="00404623">
        <w:rPr>
          <w:rFonts w:ascii="Seaford" w:hAnsi="Seaford" w:cstheme="majorHAnsi"/>
          <w:sz w:val="24"/>
          <w:szCs w:val="24"/>
          <w:lang w:val="en-GB"/>
        </w:rPr>
        <w:t>Increased academic hardiness (Abdollahi et al., 2020)</w:t>
      </w:r>
    </w:p>
    <w:p w14:paraId="5DB2C36B" w14:textId="1E74C19B" w:rsidR="00D91363" w:rsidRPr="00404623" w:rsidRDefault="009D3036" w:rsidP="009D3036">
      <w:pPr>
        <w:pStyle w:val="Heading2"/>
        <w:rPr>
          <w:rFonts w:ascii="Seaford" w:hAnsi="Seaford"/>
          <w:sz w:val="24"/>
          <w:szCs w:val="24"/>
          <w:lang w:val="en-GB"/>
        </w:rPr>
      </w:pPr>
      <w:bookmarkStart w:id="6" w:name="_Toc239670468"/>
      <w:r w:rsidRPr="00404623">
        <w:rPr>
          <w:rFonts w:ascii="Seaford" w:hAnsi="Seaford"/>
          <w:sz w:val="24"/>
          <w:szCs w:val="24"/>
          <w:lang w:val="en-GB"/>
        </w:rPr>
        <w:t>School Belonging as a Protective Factor</w:t>
      </w:r>
      <w:bookmarkEnd w:id="6"/>
    </w:p>
    <w:p w14:paraId="4D155321" w14:textId="70443E45" w:rsidR="0003585D" w:rsidRPr="00404623" w:rsidRDefault="0003585D" w:rsidP="0003585D">
      <w:pPr>
        <w:rPr>
          <w:rFonts w:ascii="Seaford" w:hAnsi="Seaford"/>
          <w:sz w:val="24"/>
          <w:szCs w:val="24"/>
          <w:lang w:val="en-GB"/>
        </w:rPr>
      </w:pPr>
      <w:r w:rsidRPr="00404623">
        <w:rPr>
          <w:rFonts w:ascii="Seaford" w:hAnsi="Seaford"/>
          <w:sz w:val="24"/>
          <w:szCs w:val="24"/>
          <w:lang w:val="en-GB"/>
        </w:rPr>
        <w:t>Belonging is inversely related to risk-taking behaviours (Goodenow, 1993; Slaten et al., 2016)</w:t>
      </w:r>
    </w:p>
    <w:p w14:paraId="3A59B304" w14:textId="6251C2D8" w:rsidR="00100904" w:rsidRPr="00404623" w:rsidRDefault="00100904" w:rsidP="00100904">
      <w:pPr>
        <w:rPr>
          <w:rFonts w:ascii="Seaford" w:hAnsi="Seaford"/>
          <w:sz w:val="24"/>
          <w:szCs w:val="24"/>
          <w:lang w:val="en-GB"/>
        </w:rPr>
      </w:pPr>
      <w:hyperlink r:id="rId20" w:history="1">
        <w:r w:rsidRPr="00404623">
          <w:rPr>
            <w:rStyle w:val="Hyperlink"/>
            <w:rFonts w:ascii="Seaford" w:hAnsi="Seaford"/>
            <w:sz w:val="24"/>
            <w:szCs w:val="24"/>
            <w:lang w:val="en-GB"/>
          </w:rPr>
          <w:t>Roffey et al. (2019)</w:t>
        </w:r>
      </w:hyperlink>
      <w:r w:rsidRPr="00404623">
        <w:rPr>
          <w:rFonts w:ascii="Seaford" w:hAnsi="Seaford"/>
          <w:sz w:val="24"/>
          <w:szCs w:val="24"/>
          <w:lang w:val="en-GB"/>
        </w:rPr>
        <w:t xml:space="preserve"> emphasize that a strong sense of belonging:</w:t>
      </w:r>
    </w:p>
    <w:p w14:paraId="029078B8" w14:textId="77777777" w:rsidR="00100904" w:rsidRPr="00404623" w:rsidRDefault="00100904" w:rsidP="00100904">
      <w:pPr>
        <w:pStyle w:val="ListParagraph"/>
        <w:numPr>
          <w:ilvl w:val="0"/>
          <w:numId w:val="23"/>
        </w:numPr>
        <w:rPr>
          <w:rFonts w:ascii="Seaford" w:hAnsi="Seaford"/>
          <w:sz w:val="24"/>
          <w:szCs w:val="24"/>
          <w:lang w:val="en-GB"/>
        </w:rPr>
      </w:pPr>
      <w:r w:rsidRPr="00404623">
        <w:rPr>
          <w:rFonts w:ascii="Seaford" w:hAnsi="Seaford"/>
          <w:sz w:val="24"/>
          <w:szCs w:val="24"/>
          <w:lang w:val="en-GB"/>
        </w:rPr>
        <w:t>Reduces risk factors such as bullying, misconduct, truancy, and school dropout.</w:t>
      </w:r>
    </w:p>
    <w:p w14:paraId="7B73D4E0" w14:textId="77777777" w:rsidR="00100904" w:rsidRPr="00404623" w:rsidRDefault="00100904" w:rsidP="00100904">
      <w:pPr>
        <w:pStyle w:val="ListParagraph"/>
        <w:numPr>
          <w:ilvl w:val="0"/>
          <w:numId w:val="23"/>
        </w:numPr>
        <w:rPr>
          <w:rFonts w:ascii="Seaford" w:hAnsi="Seaford"/>
          <w:sz w:val="24"/>
          <w:szCs w:val="24"/>
          <w:lang w:val="en-GB"/>
        </w:rPr>
      </w:pPr>
      <w:r w:rsidRPr="00404623">
        <w:rPr>
          <w:rFonts w:ascii="Seaford" w:hAnsi="Seaford"/>
          <w:sz w:val="24"/>
          <w:szCs w:val="24"/>
          <w:lang w:val="en-GB"/>
        </w:rPr>
        <w:t>Promotes resilience, emotional regulation, and prosocial behaviour.</w:t>
      </w:r>
    </w:p>
    <w:p w14:paraId="392BACE8" w14:textId="25BA91C3" w:rsidR="00100904" w:rsidRPr="00404623" w:rsidRDefault="00100904" w:rsidP="00100904">
      <w:pPr>
        <w:pStyle w:val="ListParagraph"/>
        <w:numPr>
          <w:ilvl w:val="0"/>
          <w:numId w:val="23"/>
        </w:numPr>
        <w:rPr>
          <w:rFonts w:ascii="Seaford" w:hAnsi="Seaford"/>
          <w:sz w:val="24"/>
          <w:szCs w:val="24"/>
          <w:lang w:val="en-GB"/>
        </w:rPr>
      </w:pPr>
      <w:r w:rsidRPr="00404623">
        <w:rPr>
          <w:rFonts w:ascii="Seaford" w:hAnsi="Seaford"/>
          <w:sz w:val="24"/>
          <w:szCs w:val="24"/>
          <w:lang w:val="en-GB"/>
        </w:rPr>
        <w:t>Supports academic motivation and long-term educational outcomes.</w:t>
      </w:r>
    </w:p>
    <w:p w14:paraId="3B7541E6" w14:textId="25623851" w:rsidR="00C03B48" w:rsidRPr="00404623" w:rsidRDefault="00C03B48" w:rsidP="00C03B48">
      <w:pPr>
        <w:rPr>
          <w:rFonts w:ascii="Seaford" w:hAnsi="Seaford"/>
          <w:sz w:val="24"/>
          <w:szCs w:val="24"/>
          <w:lang w:val="en-GB"/>
        </w:rPr>
      </w:pPr>
      <w:r w:rsidRPr="00404623">
        <w:rPr>
          <w:rFonts w:ascii="Seaford" w:hAnsi="Seaford"/>
          <w:sz w:val="24"/>
          <w:szCs w:val="24"/>
          <w:lang w:val="en-GB"/>
        </w:rPr>
        <w:t>When schools intentionally foster belonging—through relational practices, inclusive environments, and consistent support—they help students form secure attachments to their learning environment. This not only improves behaviour and wellbeing but also creates a foundation for academic success.</w:t>
      </w:r>
    </w:p>
    <w:p w14:paraId="7F53D8F8" w14:textId="4AB05233" w:rsidR="00A06C32" w:rsidRPr="00404623" w:rsidRDefault="00A06C32" w:rsidP="00E45F96">
      <w:pPr>
        <w:pStyle w:val="Heading2"/>
        <w:rPr>
          <w:rFonts w:ascii="Seaford" w:hAnsi="Seaford"/>
          <w:sz w:val="24"/>
          <w:szCs w:val="24"/>
          <w:lang w:val="en-GB"/>
        </w:rPr>
      </w:pPr>
      <w:bookmarkStart w:id="7" w:name="_Toc239670469"/>
      <w:r w:rsidRPr="00404623">
        <w:rPr>
          <w:rFonts w:ascii="Seaford" w:hAnsi="Seaford"/>
          <w:sz w:val="24"/>
          <w:szCs w:val="24"/>
          <w:lang w:val="en-GB"/>
        </w:rPr>
        <w:t>Physical Health &amp; Risk Reduction</w:t>
      </w:r>
      <w:bookmarkEnd w:id="7"/>
    </w:p>
    <w:p w14:paraId="78986F6B" w14:textId="293ABB4C" w:rsidR="006B2DCF" w:rsidRPr="00404623" w:rsidRDefault="006B2DCF" w:rsidP="006B2DCF">
      <w:pPr>
        <w:rPr>
          <w:rFonts w:ascii="Seaford" w:hAnsi="Seaford"/>
          <w:sz w:val="24"/>
          <w:szCs w:val="24"/>
          <w:lang w:val="en-GB"/>
        </w:rPr>
      </w:pPr>
      <w:r w:rsidRPr="00404623">
        <w:rPr>
          <w:rFonts w:ascii="Seaford" w:hAnsi="Seaford"/>
          <w:sz w:val="24"/>
          <w:szCs w:val="24"/>
          <w:lang w:val="en-GB"/>
        </w:rPr>
        <w:t>Feeling a sense of belonging at school is closely linked to better mental and physical health in young people. When students feel connected and supported, they experience lower levels of stress, anxiety, and depression. This emotional security can also lead to improved sleep, stronger immune function, and healthier lifestyle choices. A positive school climate that fosters belonging not only supports academic success but also lays the foundation for lifelong wellbeing.</w:t>
      </w:r>
    </w:p>
    <w:p w14:paraId="4EB7A60B" w14:textId="77777777" w:rsidR="00A06C32" w:rsidRPr="00404623" w:rsidRDefault="00A06C32" w:rsidP="00B401BB">
      <w:pPr>
        <w:pStyle w:val="Heading4"/>
        <w:rPr>
          <w:rFonts w:ascii="Seaford" w:hAnsi="Seaford"/>
          <w:sz w:val="24"/>
          <w:szCs w:val="24"/>
          <w:lang w:val="en-GB"/>
        </w:rPr>
      </w:pPr>
      <w:r w:rsidRPr="00404623">
        <w:rPr>
          <w:rFonts w:ascii="Seaford" w:hAnsi="Seaford"/>
          <w:sz w:val="24"/>
          <w:szCs w:val="24"/>
          <w:lang w:val="en-GB"/>
        </w:rPr>
        <w:t>Health Benefits:</w:t>
      </w:r>
    </w:p>
    <w:p w14:paraId="7669C8E3" w14:textId="792C7A63" w:rsidR="00A06C32" w:rsidRPr="00404623" w:rsidRDefault="00A06C32" w:rsidP="00144C4E">
      <w:pPr>
        <w:pStyle w:val="ListParagraph"/>
        <w:numPr>
          <w:ilvl w:val="0"/>
          <w:numId w:val="47"/>
        </w:numPr>
        <w:rPr>
          <w:rFonts w:ascii="Seaford" w:hAnsi="Seaford" w:cstheme="majorHAnsi"/>
          <w:sz w:val="24"/>
          <w:szCs w:val="24"/>
          <w:lang w:val="en-GB"/>
        </w:rPr>
      </w:pPr>
      <w:r w:rsidRPr="00404623">
        <w:rPr>
          <w:rFonts w:ascii="Seaford" w:hAnsi="Seaford" w:cstheme="majorHAnsi"/>
          <w:sz w:val="24"/>
          <w:szCs w:val="24"/>
          <w:lang w:val="en-GB"/>
        </w:rPr>
        <w:t>Fewer internalizing/externalizing behaviours and improved wellbeing (Arslan, 2021)</w:t>
      </w:r>
    </w:p>
    <w:p w14:paraId="534CA4F3" w14:textId="653A2E88" w:rsidR="00A06C32" w:rsidRPr="00404623" w:rsidRDefault="00A06C32" w:rsidP="00144C4E">
      <w:pPr>
        <w:pStyle w:val="ListParagraph"/>
        <w:numPr>
          <w:ilvl w:val="0"/>
          <w:numId w:val="47"/>
        </w:numPr>
        <w:rPr>
          <w:rFonts w:ascii="Seaford" w:hAnsi="Seaford" w:cstheme="majorHAnsi"/>
          <w:sz w:val="24"/>
          <w:szCs w:val="24"/>
          <w:lang w:val="en-GB"/>
        </w:rPr>
      </w:pPr>
      <w:r w:rsidRPr="00404623">
        <w:rPr>
          <w:rFonts w:ascii="Seaford" w:hAnsi="Seaford" w:cstheme="majorHAnsi"/>
          <w:sz w:val="24"/>
          <w:szCs w:val="24"/>
          <w:lang w:val="en-GB"/>
        </w:rPr>
        <w:t>Lower risk of emotional distress, suicidal ideation, violence, and substance use (Steiner et al., 2019)</w:t>
      </w:r>
    </w:p>
    <w:p w14:paraId="3A9B21FD" w14:textId="16635934" w:rsidR="00A123A2" w:rsidRPr="00404623" w:rsidRDefault="00A123A2" w:rsidP="00E45F96">
      <w:pPr>
        <w:pStyle w:val="Heading2"/>
        <w:rPr>
          <w:rFonts w:ascii="Seaford" w:hAnsi="Seaford"/>
          <w:sz w:val="24"/>
          <w:szCs w:val="24"/>
          <w:lang w:val="en-GB"/>
        </w:rPr>
      </w:pPr>
      <w:bookmarkStart w:id="8" w:name="_Toc239670470"/>
      <w:r w:rsidRPr="00404623">
        <w:rPr>
          <w:rFonts w:ascii="Seaford" w:hAnsi="Seaford"/>
          <w:sz w:val="24"/>
          <w:szCs w:val="24"/>
          <w:lang w:val="en-GB"/>
        </w:rPr>
        <w:t>Belonging and attendance</w:t>
      </w:r>
      <w:bookmarkEnd w:id="8"/>
      <w:r w:rsidR="00FA7A52" w:rsidRPr="00404623">
        <w:rPr>
          <w:rFonts w:ascii="Seaford" w:hAnsi="Seaford"/>
          <w:sz w:val="24"/>
          <w:szCs w:val="24"/>
          <w:lang w:val="en-GB"/>
        </w:rPr>
        <w:t xml:space="preserve"> </w:t>
      </w:r>
    </w:p>
    <w:p w14:paraId="1ED30A3E" w14:textId="0C2B7FBF" w:rsidR="002E6252" w:rsidRPr="00404623" w:rsidRDefault="004455A2" w:rsidP="004455A2">
      <w:pPr>
        <w:rPr>
          <w:rFonts w:ascii="Seaford" w:hAnsi="Seaford"/>
          <w:sz w:val="24"/>
          <w:szCs w:val="24"/>
          <w:lang w:val="en-GB"/>
        </w:rPr>
      </w:pPr>
      <w:r w:rsidRPr="00404623">
        <w:rPr>
          <w:rFonts w:ascii="Seaford" w:hAnsi="Seaford"/>
          <w:sz w:val="24"/>
          <w:szCs w:val="24"/>
          <w:lang w:val="en-GB"/>
        </w:rPr>
        <w:t xml:space="preserve">A growing body of research highlights a strong link between students’ sense of school belonging and their attendance patterns. When students feel accepted, respected, and connected within their school environment, they are more likely to attend regularly and engage meaningfully in learning. </w:t>
      </w:r>
    </w:p>
    <w:p w14:paraId="47C0F05F" w14:textId="26504E15" w:rsidR="002E6252" w:rsidRPr="00404623" w:rsidRDefault="002E6252" w:rsidP="004455A2">
      <w:pPr>
        <w:rPr>
          <w:rFonts w:ascii="Seaford" w:hAnsi="Seaford"/>
          <w:sz w:val="24"/>
          <w:szCs w:val="24"/>
          <w:lang w:val="en-GB"/>
        </w:rPr>
      </w:pPr>
      <w:r w:rsidRPr="00404623">
        <w:rPr>
          <w:rFonts w:ascii="Seaford" w:hAnsi="Seaford"/>
          <w:sz w:val="24"/>
          <w:szCs w:val="24"/>
          <w:lang w:val="en-GB"/>
        </w:rPr>
        <w:lastRenderedPageBreak/>
        <w:t>-</w:t>
      </w:r>
      <w:r w:rsidR="004455A2" w:rsidRPr="00404623">
        <w:rPr>
          <w:rFonts w:ascii="Seaford" w:hAnsi="Seaford"/>
          <w:sz w:val="24"/>
          <w:szCs w:val="24"/>
          <w:lang w:val="en-GB"/>
        </w:rPr>
        <w:t xml:space="preserve">A meta-analytic review by </w:t>
      </w:r>
      <w:hyperlink r:id="rId21" w:history="1">
        <w:r w:rsidR="004455A2" w:rsidRPr="00404623">
          <w:rPr>
            <w:rStyle w:val="Hyperlink"/>
            <w:rFonts w:ascii="Seaford" w:hAnsi="Seaford"/>
            <w:sz w:val="24"/>
            <w:szCs w:val="24"/>
            <w:lang w:val="en-GB"/>
          </w:rPr>
          <w:t>Korpershoek et al. (2020)</w:t>
        </w:r>
      </w:hyperlink>
      <w:r w:rsidR="004455A2" w:rsidRPr="00404623">
        <w:rPr>
          <w:rFonts w:ascii="Seaford" w:hAnsi="Seaford"/>
          <w:sz w:val="24"/>
          <w:szCs w:val="24"/>
          <w:lang w:val="en-GB"/>
        </w:rPr>
        <w:t xml:space="preserve"> found a negative correlation between school belonging and absenteeism, indicating that students with a stronger sense of belonging are less likely to be absent or drop out. </w:t>
      </w:r>
    </w:p>
    <w:p w14:paraId="39C289B5" w14:textId="165DA2A0" w:rsidR="008D305D" w:rsidRPr="00404623" w:rsidRDefault="002E6252" w:rsidP="004455A2">
      <w:pPr>
        <w:rPr>
          <w:rFonts w:ascii="Seaford" w:hAnsi="Seaford"/>
          <w:sz w:val="24"/>
          <w:szCs w:val="24"/>
          <w:lang w:val="en-GB"/>
        </w:rPr>
      </w:pPr>
      <w:r w:rsidRPr="00404623">
        <w:rPr>
          <w:rFonts w:ascii="Seaford" w:hAnsi="Seaford"/>
          <w:sz w:val="24"/>
          <w:szCs w:val="24"/>
          <w:lang w:val="en-GB"/>
        </w:rPr>
        <w:t>-</w:t>
      </w:r>
      <w:r w:rsidR="004455A2" w:rsidRPr="00404623">
        <w:rPr>
          <w:rFonts w:ascii="Seaford" w:hAnsi="Seaford"/>
          <w:sz w:val="24"/>
          <w:szCs w:val="24"/>
          <w:lang w:val="en-GB"/>
        </w:rPr>
        <w:t xml:space="preserve">Similarly, </w:t>
      </w:r>
      <w:hyperlink r:id="rId22" w:history="1">
        <w:proofErr w:type="spellStart"/>
        <w:r w:rsidR="004455A2" w:rsidRPr="00404623">
          <w:rPr>
            <w:rStyle w:val="Hyperlink"/>
            <w:rFonts w:ascii="Seaford" w:hAnsi="Seaford"/>
            <w:sz w:val="24"/>
            <w:szCs w:val="24"/>
            <w:lang w:val="en-GB"/>
          </w:rPr>
          <w:t>Štremfel</w:t>
        </w:r>
        <w:proofErr w:type="spellEnd"/>
        <w:r w:rsidR="004455A2" w:rsidRPr="00404623">
          <w:rPr>
            <w:rStyle w:val="Hyperlink"/>
            <w:rFonts w:ascii="Seaford" w:hAnsi="Seaford"/>
            <w:sz w:val="24"/>
            <w:szCs w:val="24"/>
            <w:lang w:val="en-GB"/>
          </w:rPr>
          <w:t xml:space="preserve"> et al. (2024)</w:t>
        </w:r>
      </w:hyperlink>
      <w:r w:rsidR="004455A2" w:rsidRPr="00404623">
        <w:rPr>
          <w:rFonts w:ascii="Seaford" w:hAnsi="Seaford"/>
          <w:sz w:val="24"/>
          <w:szCs w:val="24"/>
          <w:lang w:val="en-GB"/>
        </w:rPr>
        <w:t xml:space="preserve"> emphasized that school belonging is a key predictor of behavioural outcomes, including attendance, and called for multi-level interventions to support students at risk of disengagement. These findings underscore the importance of fostering inclusive, supportive school climates as a strategy not only for improving wellbeing but also for reducing chronic absenteeism and promoting educational equity.</w:t>
      </w:r>
      <w:r w:rsidRPr="00404623">
        <w:rPr>
          <w:rFonts w:ascii="Seaford" w:hAnsi="Seaford"/>
          <w:sz w:val="24"/>
          <w:szCs w:val="24"/>
          <w:lang w:val="en-GB"/>
        </w:rPr>
        <w:t xml:space="preserve"> </w:t>
      </w:r>
    </w:p>
    <w:p w14:paraId="2B2C8F44" w14:textId="5BC76A3A" w:rsidR="00BB0DE4" w:rsidRPr="00404623" w:rsidRDefault="008D305D" w:rsidP="00BB0DE4">
      <w:pPr>
        <w:rPr>
          <w:rFonts w:ascii="Seaford" w:hAnsi="Seaford"/>
          <w:sz w:val="24"/>
          <w:szCs w:val="24"/>
          <w:lang w:val="en-GB"/>
        </w:rPr>
      </w:pPr>
      <w:hyperlink r:id="rId23" w:history="1">
        <w:r w:rsidRPr="00404623">
          <w:rPr>
            <w:rStyle w:val="Hyperlink"/>
            <w:rFonts w:ascii="Seaford" w:hAnsi="Seaford"/>
            <w:sz w:val="24"/>
            <w:szCs w:val="24"/>
            <w:lang w:val="en-GB"/>
          </w:rPr>
          <w:t xml:space="preserve">Kearney </w:t>
        </w:r>
        <w:r w:rsidR="009E15BD" w:rsidRPr="00404623">
          <w:rPr>
            <w:rStyle w:val="Hyperlink"/>
            <w:rFonts w:ascii="Seaford" w:hAnsi="Seaford"/>
            <w:sz w:val="24"/>
            <w:szCs w:val="24"/>
            <w:lang w:val="en-GB"/>
          </w:rPr>
          <w:t>and colleagues</w:t>
        </w:r>
        <w:r w:rsidRPr="00404623">
          <w:rPr>
            <w:rStyle w:val="Hyperlink"/>
            <w:rFonts w:ascii="Seaford" w:hAnsi="Seaford"/>
            <w:sz w:val="24"/>
            <w:szCs w:val="24"/>
            <w:lang w:val="en-GB"/>
          </w:rPr>
          <w:t xml:space="preserve">’ research </w:t>
        </w:r>
        <w:r w:rsidR="00DC68F3" w:rsidRPr="00404623">
          <w:rPr>
            <w:rStyle w:val="Hyperlink"/>
            <w:rFonts w:ascii="Seaford" w:hAnsi="Seaford"/>
            <w:sz w:val="24"/>
            <w:szCs w:val="24"/>
            <w:lang w:val="en-GB"/>
          </w:rPr>
          <w:t>(2020)</w:t>
        </w:r>
      </w:hyperlink>
      <w:r w:rsidR="004D34DA" w:rsidRPr="00404623">
        <w:rPr>
          <w:rFonts w:ascii="Seaford" w:hAnsi="Seaford"/>
          <w:sz w:val="24"/>
          <w:szCs w:val="24"/>
          <w:lang w:val="en-GB"/>
        </w:rPr>
        <w:t xml:space="preserve"> highlights the critical role of school belonging in addressing problematic absenteeism. It emphasizes the need for multi-tiered interventions that include relational and psychological supports.</w:t>
      </w:r>
    </w:p>
    <w:p w14:paraId="44D405DD" w14:textId="2C66CB04" w:rsidR="006E5720" w:rsidRPr="00404623" w:rsidRDefault="006E5720" w:rsidP="006E5720">
      <w:pPr>
        <w:pStyle w:val="Heading2"/>
        <w:rPr>
          <w:rFonts w:ascii="Seaford" w:hAnsi="Seaford"/>
          <w:sz w:val="24"/>
          <w:szCs w:val="24"/>
          <w:lang w:val="en-GB"/>
        </w:rPr>
      </w:pPr>
      <w:bookmarkStart w:id="9" w:name="_Toc239670471"/>
      <w:r w:rsidRPr="00404623">
        <w:rPr>
          <w:rFonts w:ascii="Seaford" w:hAnsi="Seaford"/>
          <w:sz w:val="24"/>
          <w:szCs w:val="24"/>
          <w:lang w:val="en-GB"/>
        </w:rPr>
        <w:t>Staff Wellbeing and Retention: The Ripple Effect of Belonging</w:t>
      </w:r>
      <w:bookmarkEnd w:id="9"/>
    </w:p>
    <w:p w14:paraId="14F1C5C1" w14:textId="219BC445" w:rsidR="006E5720" w:rsidRPr="00404623" w:rsidRDefault="006E5720" w:rsidP="006E5720">
      <w:pPr>
        <w:rPr>
          <w:rFonts w:ascii="Seaford" w:hAnsi="Seaford" w:cstheme="majorHAnsi"/>
          <w:sz w:val="24"/>
          <w:szCs w:val="24"/>
          <w:lang w:val="en-GB"/>
        </w:rPr>
      </w:pPr>
      <w:r w:rsidRPr="00404623">
        <w:rPr>
          <w:rFonts w:ascii="Seaford" w:hAnsi="Seaford" w:cstheme="majorHAnsi"/>
          <w:sz w:val="24"/>
          <w:szCs w:val="24"/>
          <w:lang w:val="en-GB"/>
        </w:rPr>
        <w:t>While much of the research on school belonging focuses on students, there is growing evidence that fostering a culture of belonging also significantly benefits teachers and school staff. A positive school climate where both students and staff feel connected, respected, and valued contributes to improved mental health and higher staff retention.</w:t>
      </w:r>
    </w:p>
    <w:p w14:paraId="1A3C481E" w14:textId="40777809" w:rsidR="006E5720" w:rsidRPr="006D4037" w:rsidRDefault="006E5720" w:rsidP="006E5720">
      <w:pPr>
        <w:rPr>
          <w:rFonts w:ascii="Seaford" w:hAnsi="Seaford" w:cstheme="majorHAnsi"/>
          <w:sz w:val="24"/>
          <w:szCs w:val="24"/>
          <w:lang w:val="en-GB"/>
        </w:rPr>
      </w:pPr>
      <w:r w:rsidRPr="006D4037">
        <w:rPr>
          <w:rFonts w:ascii="Seaford" w:hAnsi="Seaford" w:cstheme="majorHAnsi"/>
          <w:sz w:val="24"/>
          <w:szCs w:val="24"/>
          <w:lang w:val="en-GB"/>
        </w:rPr>
        <w:t>Recent research highlights the following:</w:t>
      </w:r>
    </w:p>
    <w:p w14:paraId="15A779EC" w14:textId="43D13D7D" w:rsidR="006E5720" w:rsidRPr="00404623" w:rsidRDefault="006E5720" w:rsidP="006E5720">
      <w:pPr>
        <w:pStyle w:val="Heading4"/>
        <w:rPr>
          <w:rFonts w:ascii="Seaford" w:hAnsi="Seaford" w:cstheme="majorHAnsi"/>
          <w:color w:val="0070C0"/>
          <w:sz w:val="24"/>
          <w:szCs w:val="24"/>
          <w:u w:val="single"/>
          <w:lang w:val="en-GB"/>
        </w:rPr>
      </w:pPr>
      <w:r w:rsidRPr="00404623">
        <w:rPr>
          <w:rFonts w:ascii="Seaford" w:hAnsi="Seaford" w:cstheme="majorHAnsi"/>
          <w:color w:val="0070C0"/>
          <w:sz w:val="24"/>
          <w:szCs w:val="24"/>
          <w:u w:val="single"/>
          <w:lang w:val="en-GB"/>
        </w:rPr>
        <w:t xml:space="preserve">Upbeat Research Report (2024) </w:t>
      </w:r>
      <w:hyperlink r:id="rId24" w:history="1">
        <w:r w:rsidRPr="00404623">
          <w:rPr>
            <w:rStyle w:val="Hyperlink"/>
            <w:rFonts w:ascii="Seaford" w:hAnsi="Seaford" w:cstheme="majorHAnsi"/>
            <w:color w:val="0070C0"/>
            <w:sz w:val="24"/>
            <w:szCs w:val="24"/>
          </w:rPr>
          <w:t>New Study Reveals Impact of Belonging and Wellbeing on Teacher Retention</w:t>
        </w:r>
      </w:hyperlink>
    </w:p>
    <w:p w14:paraId="54FD101A" w14:textId="11A8C29F"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A study by Upbeat, based on responses from over 15,000 teachers, found that a </w:t>
      </w:r>
      <w:r w:rsidRPr="00404623">
        <w:rPr>
          <w:rFonts w:ascii="Seaford" w:hAnsi="Seaford" w:cstheme="majorHAnsi"/>
          <w:b/>
          <w:bCs/>
          <w:sz w:val="24"/>
          <w:szCs w:val="24"/>
          <w:lang w:val="en-GB"/>
        </w:rPr>
        <w:t>10-percentage point increase in positive perceptions of belonging and wellbeing</w:t>
      </w:r>
      <w:r w:rsidRPr="00404623">
        <w:rPr>
          <w:rFonts w:ascii="Seaford" w:hAnsi="Seaford" w:cstheme="majorHAnsi"/>
          <w:sz w:val="24"/>
          <w:szCs w:val="24"/>
          <w:lang w:val="en-GB"/>
        </w:rPr>
        <w:t> was associated with a </w:t>
      </w:r>
      <w:r w:rsidRPr="00404623">
        <w:rPr>
          <w:rFonts w:ascii="Seaford" w:hAnsi="Seaford" w:cstheme="majorHAnsi"/>
          <w:b/>
          <w:bCs/>
          <w:sz w:val="24"/>
          <w:szCs w:val="24"/>
          <w:lang w:val="en-GB"/>
        </w:rPr>
        <w:t>6-percentage point increase in teacher retention</w:t>
      </w:r>
      <w:r w:rsidRPr="00404623">
        <w:rPr>
          <w:rFonts w:ascii="Seaford" w:hAnsi="Seaford" w:cstheme="majorHAnsi"/>
          <w:sz w:val="24"/>
          <w:szCs w:val="24"/>
          <w:lang w:val="en-GB"/>
        </w:rPr>
        <w:t>.</w:t>
      </w:r>
    </w:p>
    <w:p w14:paraId="0B5F8639" w14:textId="1CCD661A"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Schools with high belonging and wellbeing scores had </w:t>
      </w:r>
      <w:r w:rsidRPr="00404623">
        <w:rPr>
          <w:rFonts w:ascii="Seaford" w:hAnsi="Seaford" w:cstheme="majorHAnsi"/>
          <w:b/>
          <w:bCs/>
          <w:sz w:val="24"/>
          <w:szCs w:val="24"/>
          <w:lang w:val="en-GB"/>
        </w:rPr>
        <w:t>retention rates over 16 percentage points higher</w:t>
      </w:r>
      <w:r w:rsidRPr="00404623">
        <w:rPr>
          <w:rFonts w:ascii="Seaford" w:hAnsi="Seaford" w:cstheme="majorHAnsi"/>
          <w:sz w:val="24"/>
          <w:szCs w:val="24"/>
          <w:lang w:val="en-GB"/>
        </w:rPr>
        <w:t> than those with lower scores.</w:t>
      </w:r>
    </w:p>
    <w:p w14:paraId="6AACE4D6" w14:textId="51E482B8"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The impact was especially strong for </w:t>
      </w:r>
      <w:r w:rsidRPr="00404623">
        <w:rPr>
          <w:rFonts w:ascii="Seaford" w:hAnsi="Seaford" w:cstheme="majorHAnsi"/>
          <w:b/>
          <w:bCs/>
          <w:sz w:val="24"/>
          <w:szCs w:val="24"/>
          <w:lang w:val="en-GB"/>
        </w:rPr>
        <w:t>early career teachers</w:t>
      </w:r>
      <w:r w:rsidRPr="00404623">
        <w:rPr>
          <w:rFonts w:ascii="Seaford" w:hAnsi="Seaford" w:cstheme="majorHAnsi"/>
          <w:sz w:val="24"/>
          <w:szCs w:val="24"/>
          <w:lang w:val="en-GB"/>
        </w:rPr>
        <w:t>, who showed </w:t>
      </w:r>
      <w:r w:rsidRPr="00404623">
        <w:rPr>
          <w:rFonts w:ascii="Seaford" w:hAnsi="Seaford" w:cstheme="majorHAnsi"/>
          <w:b/>
          <w:bCs/>
          <w:sz w:val="24"/>
          <w:szCs w:val="24"/>
          <w:lang w:val="en-GB"/>
        </w:rPr>
        <w:t>18 percentage points higher retention</w:t>
      </w:r>
      <w:r w:rsidRPr="00404623">
        <w:rPr>
          <w:rFonts w:ascii="Seaford" w:hAnsi="Seaford" w:cstheme="majorHAnsi"/>
          <w:sz w:val="24"/>
          <w:szCs w:val="24"/>
          <w:lang w:val="en-GB"/>
        </w:rPr>
        <w:t> when they felt a strong sense of belonging and wellbeing</w:t>
      </w:r>
    </w:p>
    <w:p w14:paraId="05D3E56D" w14:textId="7C716673" w:rsidR="006E5720" w:rsidRPr="00404623" w:rsidRDefault="006E5720" w:rsidP="006E5720">
      <w:pPr>
        <w:rPr>
          <w:rFonts w:ascii="Seaford" w:hAnsi="Seaford" w:cstheme="majorHAnsi"/>
          <w:color w:val="0070C0"/>
          <w:sz w:val="24"/>
          <w:szCs w:val="24"/>
          <w:lang w:val="en-GB"/>
        </w:rPr>
      </w:pPr>
    </w:p>
    <w:p w14:paraId="2D15277E" w14:textId="3948272A" w:rsidR="006E5720" w:rsidRPr="00404623" w:rsidRDefault="006E5720" w:rsidP="006E5720">
      <w:pPr>
        <w:pStyle w:val="Heading4"/>
        <w:rPr>
          <w:rFonts w:ascii="Seaford" w:hAnsi="Seaford"/>
          <w:color w:val="0070C0"/>
          <w:sz w:val="24"/>
          <w:szCs w:val="24"/>
          <w:u w:val="single"/>
          <w:lang w:val="en-GB"/>
        </w:rPr>
      </w:pPr>
      <w:hyperlink r:id="rId25" w:history="1">
        <w:r w:rsidRPr="00404623">
          <w:rPr>
            <w:rStyle w:val="Hyperlink"/>
            <w:rFonts w:ascii="Seaford" w:hAnsi="Seaford"/>
            <w:color w:val="0070C0"/>
            <w:sz w:val="24"/>
            <w:szCs w:val="24"/>
            <w:lang w:val="en-GB"/>
          </w:rPr>
          <w:t>National Education Union (NEU) Research (2023)</w:t>
        </w:r>
      </w:hyperlink>
    </w:p>
    <w:p w14:paraId="1F98DCA6" w14:textId="77777777"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The NEU’s </w:t>
      </w:r>
      <w:r w:rsidRPr="00404623">
        <w:rPr>
          <w:rFonts w:ascii="Seaford" w:hAnsi="Seaford" w:cstheme="majorHAnsi"/>
          <w:i/>
          <w:iCs/>
          <w:sz w:val="24"/>
          <w:szCs w:val="24"/>
          <w:lang w:val="en-GB"/>
        </w:rPr>
        <w:t>Place and Belonging in School</w:t>
      </w:r>
      <w:r w:rsidRPr="00404623">
        <w:rPr>
          <w:rFonts w:ascii="Seaford" w:hAnsi="Seaford" w:cstheme="majorHAnsi"/>
          <w:sz w:val="24"/>
          <w:szCs w:val="24"/>
          <w:lang w:val="en-GB"/>
        </w:rPr>
        <w:t> inquiry found that </w:t>
      </w:r>
      <w:r w:rsidRPr="00404623">
        <w:rPr>
          <w:rFonts w:ascii="Seaford" w:hAnsi="Seaford" w:cstheme="majorHAnsi"/>
          <w:b/>
          <w:bCs/>
          <w:sz w:val="24"/>
          <w:szCs w:val="24"/>
          <w:lang w:val="en-GB"/>
        </w:rPr>
        <w:t>staff retention was significantly higher</w:t>
      </w:r>
      <w:r w:rsidRPr="00404623">
        <w:rPr>
          <w:rFonts w:ascii="Seaford" w:hAnsi="Seaford" w:cstheme="majorHAnsi"/>
          <w:sz w:val="24"/>
          <w:szCs w:val="24"/>
          <w:lang w:val="en-GB"/>
        </w:rPr>
        <w:t> in schools where teachers felt a strong sense of </w:t>
      </w:r>
      <w:r w:rsidRPr="00404623">
        <w:rPr>
          <w:rFonts w:ascii="Seaford" w:hAnsi="Seaford" w:cstheme="majorHAnsi"/>
          <w:b/>
          <w:bCs/>
          <w:sz w:val="24"/>
          <w:szCs w:val="24"/>
          <w:lang w:val="en-GB"/>
        </w:rPr>
        <w:t>personal and professional agency</w:t>
      </w:r>
      <w:r w:rsidRPr="00404623">
        <w:rPr>
          <w:rFonts w:ascii="Seaford" w:hAnsi="Seaford" w:cstheme="majorHAnsi"/>
          <w:sz w:val="24"/>
          <w:szCs w:val="24"/>
          <w:lang w:val="en-GB"/>
        </w:rPr>
        <w:t> and belonging.</w:t>
      </w:r>
    </w:p>
    <w:p w14:paraId="465597E8" w14:textId="77777777"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Teachers in these schools reported feeling </w:t>
      </w:r>
      <w:r w:rsidRPr="00404623">
        <w:rPr>
          <w:rFonts w:ascii="Seaford" w:hAnsi="Seaford" w:cstheme="majorHAnsi"/>
          <w:b/>
          <w:bCs/>
          <w:sz w:val="24"/>
          <w:szCs w:val="24"/>
          <w:lang w:val="en-GB"/>
        </w:rPr>
        <w:t>respected, accepted, and confident</w:t>
      </w:r>
      <w:r w:rsidRPr="00404623">
        <w:rPr>
          <w:rFonts w:ascii="Seaford" w:hAnsi="Seaford" w:cstheme="majorHAnsi"/>
          <w:sz w:val="24"/>
          <w:szCs w:val="24"/>
          <w:lang w:val="en-GB"/>
        </w:rPr>
        <w:t>, which led to </w:t>
      </w:r>
      <w:r w:rsidRPr="00404623">
        <w:rPr>
          <w:rFonts w:ascii="Seaford" w:hAnsi="Seaford" w:cstheme="majorHAnsi"/>
          <w:b/>
          <w:bCs/>
          <w:sz w:val="24"/>
          <w:szCs w:val="24"/>
          <w:lang w:val="en-GB"/>
        </w:rPr>
        <w:t>greater creativity, innovation, and commitment</w:t>
      </w:r>
      <w:r w:rsidRPr="00404623">
        <w:rPr>
          <w:rFonts w:ascii="Seaford" w:hAnsi="Seaford" w:cstheme="majorHAnsi"/>
          <w:sz w:val="24"/>
          <w:szCs w:val="24"/>
          <w:lang w:val="en-GB"/>
        </w:rPr>
        <w:t>.</w:t>
      </w:r>
    </w:p>
    <w:p w14:paraId="5CB183AF" w14:textId="77777777"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 xml:space="preserve">A shared </w:t>
      </w:r>
      <w:r w:rsidRPr="00C855A2">
        <w:rPr>
          <w:lang w:val="en-GB"/>
        </w:rPr>
        <w:t>language</w:t>
      </w:r>
      <w:r w:rsidRPr="00404623">
        <w:rPr>
          <w:rFonts w:ascii="Seaford" w:hAnsi="Seaford" w:cstheme="majorHAnsi"/>
          <w:sz w:val="24"/>
          <w:szCs w:val="24"/>
          <w:lang w:val="en-GB"/>
        </w:rPr>
        <w:t xml:space="preserve"> of belonging across staff and students contributed to a </w:t>
      </w:r>
      <w:r w:rsidRPr="00404623">
        <w:rPr>
          <w:rFonts w:ascii="Seaford" w:hAnsi="Seaford" w:cstheme="majorHAnsi"/>
          <w:b/>
          <w:bCs/>
          <w:sz w:val="24"/>
          <w:szCs w:val="24"/>
          <w:lang w:val="en-GB"/>
        </w:rPr>
        <w:t>positive school culture</w:t>
      </w:r>
      <w:r w:rsidRPr="00404623">
        <w:rPr>
          <w:rFonts w:ascii="Seaford" w:hAnsi="Seaford" w:cstheme="majorHAnsi"/>
          <w:sz w:val="24"/>
          <w:szCs w:val="24"/>
          <w:lang w:val="en-GB"/>
        </w:rPr>
        <w:t> and </w:t>
      </w:r>
      <w:r w:rsidRPr="00404623">
        <w:rPr>
          <w:rFonts w:ascii="Seaford" w:hAnsi="Seaford" w:cstheme="majorHAnsi"/>
          <w:b/>
          <w:bCs/>
          <w:sz w:val="24"/>
          <w:szCs w:val="24"/>
          <w:lang w:val="en-GB"/>
        </w:rPr>
        <w:t>long-term staff engagement</w:t>
      </w:r>
    </w:p>
    <w:p w14:paraId="2115B9B3" w14:textId="77777777" w:rsidR="006E5720" w:rsidRPr="00404623" w:rsidRDefault="006E5720" w:rsidP="006E5720">
      <w:pPr>
        <w:pStyle w:val="Heading4"/>
        <w:rPr>
          <w:rFonts w:ascii="Seaford" w:hAnsi="Seaford"/>
          <w:color w:val="0070C0"/>
          <w:sz w:val="24"/>
          <w:szCs w:val="24"/>
          <w:lang w:val="en-GB"/>
        </w:rPr>
      </w:pPr>
      <w:hyperlink r:id="rId26" w:anchor="citeas" w:history="1">
        <w:r w:rsidRPr="00404623">
          <w:rPr>
            <w:rStyle w:val="Hyperlink"/>
            <w:rFonts w:ascii="Seaford" w:hAnsi="Seaford"/>
            <w:color w:val="0070C0"/>
            <w:sz w:val="24"/>
            <w:szCs w:val="24"/>
            <w:lang w:val="en-GB"/>
          </w:rPr>
          <w:t>Stark and Daulat Study on teacher wellbeing and retention (2025)</w:t>
        </w:r>
      </w:hyperlink>
    </w:p>
    <w:p w14:paraId="5981DBCC" w14:textId="7B1FA488" w:rsidR="006E5720" w:rsidRPr="00404623" w:rsidRDefault="006E5720" w:rsidP="006E5720">
      <w:pPr>
        <w:numPr>
          <w:ilvl w:val="1"/>
          <w:numId w:val="18"/>
        </w:numPr>
        <w:rPr>
          <w:rFonts w:ascii="Seaford" w:hAnsi="Seaford" w:cstheme="majorHAnsi"/>
          <w:sz w:val="24"/>
          <w:szCs w:val="24"/>
          <w:lang w:val="en-GB"/>
        </w:rPr>
      </w:pPr>
      <w:r w:rsidRPr="00404623">
        <w:rPr>
          <w:rFonts w:ascii="Seaford" w:hAnsi="Seaford" w:cstheme="majorHAnsi"/>
          <w:sz w:val="24"/>
          <w:szCs w:val="24"/>
          <w:lang w:val="en-GB"/>
        </w:rPr>
        <w:t>A peer-reviewed study found that </w:t>
      </w:r>
      <w:r w:rsidRPr="00404623">
        <w:rPr>
          <w:rFonts w:ascii="Seaford" w:hAnsi="Seaford" w:cstheme="majorHAnsi"/>
          <w:b/>
          <w:bCs/>
          <w:sz w:val="24"/>
          <w:szCs w:val="24"/>
          <w:lang w:val="en-GB"/>
        </w:rPr>
        <w:t>greater psychological wellbeing</w:t>
      </w:r>
      <w:r w:rsidRPr="00404623">
        <w:rPr>
          <w:rFonts w:ascii="Seaford" w:hAnsi="Seaford" w:cstheme="majorHAnsi"/>
          <w:sz w:val="24"/>
          <w:szCs w:val="24"/>
          <w:lang w:val="en-GB"/>
        </w:rPr>
        <w:t> among teachers </w:t>
      </w:r>
      <w:r w:rsidRPr="00404623">
        <w:rPr>
          <w:rFonts w:ascii="Seaford" w:hAnsi="Seaford" w:cstheme="majorHAnsi"/>
          <w:b/>
          <w:bCs/>
          <w:sz w:val="24"/>
          <w:szCs w:val="24"/>
          <w:lang w:val="en-GB"/>
        </w:rPr>
        <w:t>predicts increased likelihood of staying</w:t>
      </w:r>
      <w:r w:rsidRPr="00404623">
        <w:rPr>
          <w:rFonts w:ascii="Seaford" w:hAnsi="Seaford" w:cstheme="majorHAnsi"/>
          <w:sz w:val="24"/>
          <w:szCs w:val="24"/>
          <w:lang w:val="en-GB"/>
        </w:rPr>
        <w:t> in the profession and at their current school.</w:t>
      </w:r>
    </w:p>
    <w:p w14:paraId="24C2C366" w14:textId="71D2040B" w:rsidR="00A06C32" w:rsidRPr="00404623" w:rsidRDefault="00A06C32" w:rsidP="00E45F96">
      <w:pPr>
        <w:pStyle w:val="Heading2"/>
        <w:rPr>
          <w:rFonts w:ascii="Seaford" w:hAnsi="Seaford"/>
          <w:sz w:val="24"/>
          <w:szCs w:val="24"/>
          <w:lang w:val="en-GB"/>
        </w:rPr>
      </w:pPr>
      <w:bookmarkStart w:id="10" w:name="_Toc239670472"/>
      <w:r w:rsidRPr="00404623">
        <w:rPr>
          <w:rFonts w:ascii="Seaford" w:hAnsi="Seaford"/>
          <w:sz w:val="24"/>
          <w:szCs w:val="24"/>
          <w:lang w:val="en-GB"/>
        </w:rPr>
        <w:t>Broader Social Impact</w:t>
      </w:r>
      <w:bookmarkEnd w:id="10"/>
    </w:p>
    <w:p w14:paraId="1283E363" w14:textId="2E1053B1" w:rsidR="00312956" w:rsidRPr="00404623" w:rsidRDefault="00A06C32" w:rsidP="00312956">
      <w:pPr>
        <w:pStyle w:val="Heading4"/>
        <w:rPr>
          <w:rFonts w:ascii="Seaford" w:hAnsi="Seaford"/>
          <w:sz w:val="24"/>
          <w:szCs w:val="24"/>
          <w:lang w:val="en-GB"/>
        </w:rPr>
      </w:pPr>
      <w:r w:rsidRPr="00404623">
        <w:rPr>
          <w:rFonts w:ascii="Seaford" w:hAnsi="Seaford"/>
          <w:sz w:val="24"/>
          <w:szCs w:val="24"/>
          <w:lang w:val="en-GB"/>
        </w:rPr>
        <w:t>Monash University:</w:t>
      </w:r>
    </w:p>
    <w:p w14:paraId="5ECEEE0E" w14:textId="74C0A157" w:rsidR="00A06C32" w:rsidRPr="00404623" w:rsidRDefault="00A06C32" w:rsidP="00312956">
      <w:pPr>
        <w:rPr>
          <w:rFonts w:ascii="Seaford" w:hAnsi="Seaford"/>
          <w:sz w:val="24"/>
          <w:szCs w:val="24"/>
          <w:lang w:val="en-GB"/>
        </w:rPr>
      </w:pPr>
      <w:r w:rsidRPr="00404623">
        <w:rPr>
          <w:rFonts w:ascii="Seaford" w:hAnsi="Seaford"/>
          <w:sz w:val="24"/>
          <w:szCs w:val="24"/>
          <w:lang w:val="en-GB"/>
        </w:rPr>
        <w:t>Belonging is a potential solution to rising youth mental health issues, disconnection, and loneliness.</w:t>
      </w:r>
    </w:p>
    <w:p w14:paraId="20C025BE" w14:textId="77777777" w:rsidR="005E612D" w:rsidRPr="00404623" w:rsidRDefault="00A06C32" w:rsidP="005E612D">
      <w:pPr>
        <w:pStyle w:val="Heading4"/>
        <w:rPr>
          <w:rFonts w:ascii="Seaford" w:hAnsi="Seaford"/>
          <w:sz w:val="24"/>
          <w:szCs w:val="24"/>
          <w:lang w:val="en-GB"/>
        </w:rPr>
      </w:pPr>
      <w:r w:rsidRPr="00404623">
        <w:rPr>
          <w:rFonts w:ascii="Seaford" w:hAnsi="Seaford"/>
          <w:sz w:val="24"/>
          <w:szCs w:val="24"/>
          <w:lang w:val="en-GB"/>
        </w:rPr>
        <w:t xml:space="preserve">Kathleen Ethier (CDC): </w:t>
      </w:r>
    </w:p>
    <w:p w14:paraId="438F6C4C" w14:textId="6AA11BEC" w:rsidR="00A06C32" w:rsidRPr="00404623" w:rsidRDefault="00A06C32" w:rsidP="005E612D">
      <w:pPr>
        <w:rPr>
          <w:rFonts w:ascii="Seaford" w:hAnsi="Seaford"/>
          <w:sz w:val="24"/>
          <w:szCs w:val="24"/>
          <w:lang w:val="en-GB"/>
        </w:rPr>
      </w:pPr>
      <w:r w:rsidRPr="00404623">
        <w:rPr>
          <w:rFonts w:ascii="Seaford" w:hAnsi="Seaford"/>
          <w:sz w:val="24"/>
          <w:szCs w:val="24"/>
          <w:lang w:val="en-GB"/>
        </w:rPr>
        <w:t xml:space="preserve">The relational work done in schools has long-term impacts into adulthood — helping students feel safe, </w:t>
      </w:r>
      <w:r w:rsidRPr="00404623">
        <w:rPr>
          <w:rFonts w:ascii="Seaford" w:hAnsi="Seaford"/>
          <w:sz w:val="24"/>
          <w:szCs w:val="24"/>
        </w:rPr>
        <w:t>connected, and cared</w:t>
      </w:r>
      <w:r w:rsidRPr="00404623">
        <w:rPr>
          <w:rFonts w:ascii="Seaford" w:hAnsi="Seaford"/>
          <w:sz w:val="24"/>
          <w:szCs w:val="24"/>
          <w:lang w:val="en-GB"/>
        </w:rPr>
        <w:t xml:space="preserve"> for.</w:t>
      </w:r>
    </w:p>
    <w:p w14:paraId="60A8E236" w14:textId="77777777" w:rsidR="008B4603" w:rsidRPr="00404623" w:rsidRDefault="00BB4456" w:rsidP="008B4603">
      <w:pPr>
        <w:rPr>
          <w:rFonts w:ascii="Seaford" w:hAnsi="Seaford" w:cstheme="majorHAnsi"/>
          <w:sz w:val="24"/>
          <w:szCs w:val="24"/>
        </w:rPr>
      </w:pPr>
      <w:r w:rsidRPr="00404623">
        <w:rPr>
          <w:rFonts w:ascii="Seaford" w:hAnsi="Seaford" w:cstheme="majorHAnsi"/>
          <w:sz w:val="24"/>
          <w:szCs w:val="24"/>
        </w:rPr>
        <w:t>These findings reinforce the importance of whole-school approaches to belonging that include staff as well as students. When schools invest in relational culture, everyone benefits.</w:t>
      </w:r>
    </w:p>
    <w:p w14:paraId="4934CE94" w14:textId="5C4E4703" w:rsidR="002B7C48" w:rsidRPr="00404623" w:rsidRDefault="008B4603" w:rsidP="008B4603">
      <w:pPr>
        <w:rPr>
          <w:rFonts w:ascii="Seaford" w:hAnsi="Seaford" w:cstheme="majorHAnsi"/>
          <w:sz w:val="24"/>
          <w:szCs w:val="24"/>
        </w:rPr>
      </w:pPr>
      <w:proofErr w:type="gramStart"/>
      <w:r w:rsidRPr="00404623">
        <w:rPr>
          <w:rFonts w:ascii="Seaford" w:hAnsi="Seaford" w:cstheme="majorHAnsi"/>
          <w:sz w:val="24"/>
          <w:szCs w:val="24"/>
        </w:rPr>
        <w:t>In light of</w:t>
      </w:r>
      <w:proofErr w:type="gramEnd"/>
      <w:r w:rsidRPr="00404623">
        <w:rPr>
          <w:rFonts w:ascii="Seaford" w:hAnsi="Seaford" w:cstheme="majorHAnsi"/>
          <w:sz w:val="24"/>
          <w:szCs w:val="24"/>
        </w:rPr>
        <w:t xml:space="preserve"> the evidence outlined in this section, the Schools’ White Paper sets out an expectation that all schools will measure pupils’ sense of school belonging by 2029 (DfE, 2026)</w:t>
      </w:r>
    </w:p>
    <w:p w14:paraId="7FF57ACD" w14:textId="43A817DD" w:rsidR="006469C3" w:rsidRPr="00404623" w:rsidRDefault="006469C3" w:rsidP="00E45F96">
      <w:pPr>
        <w:pStyle w:val="Heading2"/>
        <w:rPr>
          <w:rFonts w:ascii="Seaford" w:hAnsi="Seaford"/>
          <w:sz w:val="24"/>
          <w:szCs w:val="24"/>
        </w:rPr>
      </w:pPr>
      <w:bookmarkStart w:id="11" w:name="_Toc239670473"/>
      <w:r w:rsidRPr="00404623">
        <w:rPr>
          <w:rFonts w:ascii="Seaford" w:hAnsi="Seaford"/>
          <w:sz w:val="24"/>
          <w:szCs w:val="24"/>
        </w:rPr>
        <w:t>Notable Researchers</w:t>
      </w:r>
      <w:bookmarkEnd w:id="11"/>
      <w:r w:rsidR="002B7C48" w:rsidRPr="00404623">
        <w:rPr>
          <w:rFonts w:ascii="Seaford" w:hAnsi="Seaford"/>
          <w:noProof/>
          <w:sz w:val="24"/>
          <w:szCs w:val="24"/>
        </w:rPr>
        <w:t xml:space="preserve"> </w:t>
      </w:r>
    </w:p>
    <w:p w14:paraId="59B13B25" w14:textId="5777027B" w:rsidR="00730C0C" w:rsidRPr="00404623" w:rsidRDefault="006469C3" w:rsidP="006469C3">
      <w:pPr>
        <w:rPr>
          <w:rFonts w:ascii="Seaford" w:hAnsi="Seaford"/>
          <w:sz w:val="24"/>
          <w:szCs w:val="24"/>
        </w:rPr>
      </w:pPr>
      <w:r w:rsidRPr="00404623">
        <w:rPr>
          <w:rFonts w:ascii="Seaford" w:hAnsi="Seaford"/>
          <w:sz w:val="24"/>
          <w:szCs w:val="24"/>
        </w:rPr>
        <w:t xml:space="preserve">These experts </w:t>
      </w:r>
      <w:proofErr w:type="spellStart"/>
      <w:r w:rsidRPr="00404623">
        <w:rPr>
          <w:rFonts w:ascii="Seaford" w:hAnsi="Seaford"/>
          <w:sz w:val="24"/>
          <w:szCs w:val="24"/>
        </w:rPr>
        <w:t>specialise</w:t>
      </w:r>
      <w:proofErr w:type="spellEnd"/>
      <w:r w:rsidRPr="00404623">
        <w:rPr>
          <w:rFonts w:ascii="Seaford" w:hAnsi="Seaford"/>
          <w:sz w:val="24"/>
          <w:szCs w:val="24"/>
        </w:rPr>
        <w:t xml:space="preserve"> in school belonging, engagement, and climate</w:t>
      </w:r>
      <w:r w:rsidR="00A73C7E" w:rsidRPr="00404623">
        <w:rPr>
          <w:rFonts w:ascii="Seaford" w:hAnsi="Seaford"/>
          <w:sz w:val="24"/>
          <w:szCs w:val="24"/>
        </w:rPr>
        <w:t>, we recommend consulting their work if you want to develop further ideas in this area for your school</w:t>
      </w:r>
      <w:r w:rsidRPr="00404623">
        <w:rPr>
          <w:rFonts w:ascii="Seaford" w:hAnsi="Seaford"/>
          <w:sz w:val="24"/>
          <w:szCs w:val="24"/>
        </w:rPr>
        <w:t>:</w:t>
      </w:r>
    </w:p>
    <w:p w14:paraId="2CC90765" w14:textId="6FFAF162" w:rsidR="006469C3" w:rsidRPr="00404623" w:rsidRDefault="006469C3" w:rsidP="006469C3">
      <w:pPr>
        <w:rPr>
          <w:rFonts w:ascii="Seaford" w:hAnsi="Seaford"/>
          <w:sz w:val="24"/>
          <w:szCs w:val="24"/>
        </w:rPr>
      </w:pPr>
      <w:r w:rsidRPr="00404623">
        <w:rPr>
          <w:rFonts w:ascii="Seaford" w:hAnsi="Seaford"/>
          <w:sz w:val="24"/>
          <w:szCs w:val="24"/>
        </w:rPr>
        <w:lastRenderedPageBreak/>
        <w:t xml:space="preserve">- </w:t>
      </w:r>
      <w:hyperlink r:id="rId27" w:history="1">
        <w:r w:rsidRPr="00404623">
          <w:rPr>
            <w:rStyle w:val="Hyperlink"/>
            <w:rFonts w:ascii="Seaford" w:hAnsi="Seaford"/>
            <w:sz w:val="24"/>
            <w:szCs w:val="24"/>
          </w:rPr>
          <w:t>David Heyne</w:t>
        </w:r>
      </w:hyperlink>
      <w:r w:rsidRPr="00404623">
        <w:rPr>
          <w:rFonts w:ascii="Seaford" w:hAnsi="Seaford"/>
          <w:sz w:val="24"/>
          <w:szCs w:val="24"/>
        </w:rPr>
        <w:t>: advocate for </w:t>
      </w:r>
      <w:r w:rsidRPr="00404623">
        <w:rPr>
          <w:rFonts w:ascii="Seaford" w:hAnsi="Seaford"/>
          <w:b/>
          <w:bCs/>
          <w:sz w:val="24"/>
          <w:szCs w:val="24"/>
        </w:rPr>
        <w:t>evidence-based frameworks</w:t>
      </w:r>
      <w:r w:rsidRPr="00404623">
        <w:rPr>
          <w:rFonts w:ascii="Seaford" w:hAnsi="Seaford"/>
          <w:sz w:val="24"/>
          <w:szCs w:val="24"/>
        </w:rPr>
        <w:t> that integrate </w:t>
      </w:r>
      <w:r w:rsidRPr="00404623">
        <w:rPr>
          <w:rFonts w:ascii="Seaford" w:hAnsi="Seaford"/>
          <w:b/>
          <w:bCs/>
          <w:sz w:val="24"/>
          <w:szCs w:val="24"/>
        </w:rPr>
        <w:t>student voice, family engagement, and school climate</w:t>
      </w:r>
      <w:r w:rsidRPr="00404623">
        <w:rPr>
          <w:rFonts w:ascii="Seaford" w:hAnsi="Seaford"/>
          <w:sz w:val="24"/>
          <w:szCs w:val="24"/>
        </w:rPr>
        <w:t> to improve attendance and belonging.</w:t>
      </w:r>
    </w:p>
    <w:p w14:paraId="372D7061" w14:textId="264477B1" w:rsidR="00A73C7E" w:rsidRPr="00404623" w:rsidRDefault="006469C3" w:rsidP="006469C3">
      <w:pPr>
        <w:rPr>
          <w:rFonts w:ascii="Seaford" w:hAnsi="Seaford"/>
          <w:sz w:val="24"/>
          <w:szCs w:val="24"/>
        </w:rPr>
      </w:pPr>
      <w:r w:rsidRPr="00404623">
        <w:rPr>
          <w:rFonts w:ascii="Seaford" w:hAnsi="Seaford"/>
          <w:sz w:val="24"/>
          <w:szCs w:val="24"/>
        </w:rPr>
        <w:t xml:space="preserve">- </w:t>
      </w:r>
      <w:hyperlink r:id="rId28" w:history="1">
        <w:r w:rsidRPr="00404623">
          <w:rPr>
            <w:rStyle w:val="Hyperlink"/>
            <w:rFonts w:ascii="Seaford" w:hAnsi="Seaford"/>
            <w:sz w:val="24"/>
            <w:szCs w:val="24"/>
          </w:rPr>
          <w:t>Kelly-Ann Allen</w:t>
        </w:r>
      </w:hyperlink>
      <w:r w:rsidRPr="00404623">
        <w:rPr>
          <w:rFonts w:ascii="Seaford" w:hAnsi="Seaford"/>
          <w:sz w:val="24"/>
          <w:szCs w:val="24"/>
        </w:rPr>
        <w:t>: A leading voice in school belonging.</w:t>
      </w:r>
      <w:r w:rsidRPr="00404623">
        <w:rPr>
          <w:rFonts w:ascii="Seaford" w:hAnsi="Seaford"/>
          <w:sz w:val="24"/>
          <w:szCs w:val="24"/>
        </w:rPr>
        <w:br/>
      </w:r>
      <w:r w:rsidRPr="00404623">
        <w:rPr>
          <w:rFonts w:ascii="Seaford" w:hAnsi="Seaford"/>
          <w:sz w:val="24"/>
          <w:szCs w:val="24"/>
        </w:rPr>
        <w:br/>
        <w:t xml:space="preserve">- </w:t>
      </w:r>
      <w:hyperlink r:id="rId29" w:history="1">
        <w:r w:rsidRPr="00404623">
          <w:rPr>
            <w:rStyle w:val="Hyperlink"/>
            <w:rFonts w:ascii="Seaford" w:hAnsi="Seaford"/>
            <w:sz w:val="24"/>
            <w:szCs w:val="24"/>
          </w:rPr>
          <w:t>Sara Lindstrom Johnson</w:t>
        </w:r>
      </w:hyperlink>
      <w:r w:rsidRPr="00404623">
        <w:rPr>
          <w:rFonts w:ascii="Seaford" w:hAnsi="Seaford"/>
          <w:sz w:val="24"/>
          <w:szCs w:val="24"/>
        </w:rPr>
        <w:t>: Expert in school climate and its impact.</w:t>
      </w:r>
    </w:p>
    <w:p w14:paraId="77EDA5AF" w14:textId="0AA4D049" w:rsidR="001D7135" w:rsidRPr="00404623" w:rsidRDefault="00836044" w:rsidP="006469C3">
      <w:pPr>
        <w:rPr>
          <w:rFonts w:ascii="Seaford" w:hAnsi="Seaford"/>
          <w:sz w:val="24"/>
          <w:szCs w:val="24"/>
        </w:rPr>
      </w:pPr>
      <w:r w:rsidRPr="00404623">
        <w:rPr>
          <w:rFonts w:ascii="Seaford" w:hAnsi="Seaford"/>
          <w:sz w:val="24"/>
          <w:szCs w:val="24"/>
        </w:rPr>
        <w:t>-</w:t>
      </w:r>
      <w:r w:rsidR="00D537C0" w:rsidRPr="00404623">
        <w:rPr>
          <w:rFonts w:ascii="Seaford" w:hAnsi="Seaford"/>
          <w:sz w:val="24"/>
          <w:szCs w:val="24"/>
        </w:rPr>
        <w:t xml:space="preserve"> </w:t>
      </w:r>
      <w:hyperlink r:id="rId30" w:history="1">
        <w:r w:rsidR="00D537C0" w:rsidRPr="00404623">
          <w:rPr>
            <w:rStyle w:val="Hyperlink"/>
            <w:rFonts w:ascii="Seaford" w:hAnsi="Seaford"/>
            <w:sz w:val="24"/>
            <w:szCs w:val="24"/>
          </w:rPr>
          <w:t>Professor Kathryn Riley</w:t>
        </w:r>
      </w:hyperlink>
      <w:r w:rsidR="00D537C0" w:rsidRPr="00404623">
        <w:rPr>
          <w:rFonts w:ascii="Seaford" w:hAnsi="Seaford"/>
          <w:sz w:val="24"/>
          <w:szCs w:val="24"/>
        </w:rPr>
        <w:t xml:space="preserve">: </w:t>
      </w:r>
      <w:r w:rsidR="002B3F04" w:rsidRPr="00404623">
        <w:rPr>
          <w:rFonts w:ascii="Seaford" w:hAnsi="Seaford"/>
          <w:sz w:val="24"/>
          <w:szCs w:val="24"/>
        </w:rPr>
        <w:t xml:space="preserve">Professor of Urban Education and an international scholar whose work bridges policy and practice. She has </w:t>
      </w:r>
      <w:r w:rsidR="00687B5B" w:rsidRPr="00404623">
        <w:rPr>
          <w:rFonts w:ascii="Seaford" w:hAnsi="Seaford"/>
          <w:sz w:val="24"/>
          <w:szCs w:val="24"/>
        </w:rPr>
        <w:t xml:space="preserve">contributed to produce </w:t>
      </w:r>
      <w:hyperlink r:id="rId31" w:history="1">
        <w:r w:rsidR="007B5FAB" w:rsidRPr="00404623">
          <w:rPr>
            <w:rStyle w:val="Hyperlink"/>
            <w:rFonts w:ascii="Seaford" w:hAnsi="Seaford"/>
            <w:sz w:val="24"/>
            <w:szCs w:val="24"/>
          </w:rPr>
          <w:t>‘Creating Place and Belonging in Schools’</w:t>
        </w:r>
      </w:hyperlink>
      <w:r w:rsidR="007B5FAB" w:rsidRPr="00404623">
        <w:rPr>
          <w:rFonts w:ascii="Seaford" w:hAnsi="Seaford"/>
          <w:sz w:val="24"/>
          <w:szCs w:val="24"/>
        </w:rPr>
        <w:t xml:space="preserve"> at UCL Institute of Education</w:t>
      </w:r>
      <w:r w:rsidR="000268D3" w:rsidRPr="00404623">
        <w:rPr>
          <w:rFonts w:ascii="Seaford" w:hAnsi="Seaford"/>
          <w:sz w:val="24"/>
          <w:szCs w:val="24"/>
        </w:rPr>
        <w:t xml:space="preserve"> which offers many practical tools and resources. </w:t>
      </w:r>
    </w:p>
    <w:p w14:paraId="3BDD4C25" w14:textId="72037F13" w:rsidR="000F6509" w:rsidRPr="00404623" w:rsidRDefault="000F6509" w:rsidP="00751A4E">
      <w:pPr>
        <w:pStyle w:val="Heading1"/>
        <w:numPr>
          <w:ilvl w:val="0"/>
          <w:numId w:val="24"/>
        </w:numPr>
        <w:rPr>
          <w:rFonts w:ascii="Seaford" w:hAnsi="Seaford"/>
          <w:sz w:val="24"/>
          <w:szCs w:val="24"/>
        </w:rPr>
      </w:pPr>
      <w:bookmarkStart w:id="12" w:name="_Toc239670474"/>
      <w:r w:rsidRPr="00404623">
        <w:rPr>
          <w:rFonts w:ascii="Seaford" w:hAnsi="Seaford" w:cstheme="majorHAnsi"/>
          <w:sz w:val="24"/>
          <w:szCs w:val="24"/>
        </w:rPr>
        <w:t>Whole School</w:t>
      </w:r>
      <w:r w:rsidR="008F4440" w:rsidRPr="00404623">
        <w:rPr>
          <w:rFonts w:ascii="Seaford" w:hAnsi="Seaford" w:cstheme="majorHAnsi"/>
          <w:sz w:val="24"/>
          <w:szCs w:val="24"/>
        </w:rPr>
        <w:t xml:space="preserve"> Strategies</w:t>
      </w:r>
      <w:r w:rsidRPr="00404623">
        <w:rPr>
          <w:rFonts w:ascii="Seaford" w:hAnsi="Seaford" w:cstheme="majorHAnsi"/>
          <w:sz w:val="24"/>
          <w:szCs w:val="24"/>
        </w:rPr>
        <w:t xml:space="preserve">: </w:t>
      </w:r>
      <w:r w:rsidRPr="00404623">
        <w:rPr>
          <w:rFonts w:ascii="Seaford" w:hAnsi="Seaford"/>
          <w:sz w:val="24"/>
          <w:szCs w:val="24"/>
        </w:rPr>
        <w:t>Creating a Culture of Belonging</w:t>
      </w:r>
      <w:bookmarkEnd w:id="12"/>
    </w:p>
    <w:p w14:paraId="4B19EF0A" w14:textId="429D554D" w:rsidR="00C10DBA" w:rsidRPr="00404623" w:rsidRDefault="005131D4" w:rsidP="008075A9">
      <w:pPr>
        <w:rPr>
          <w:rFonts w:ascii="Seaford" w:hAnsi="Seaford"/>
          <w:sz w:val="24"/>
          <w:szCs w:val="24"/>
        </w:rPr>
      </w:pPr>
      <w:r w:rsidRPr="00404623">
        <w:rPr>
          <w:rFonts w:ascii="Seaford" w:hAnsi="Seaford"/>
          <w:noProof/>
        </w:rPr>
        <w:drawing>
          <wp:anchor distT="0" distB="0" distL="114300" distR="114300" simplePos="0" relativeHeight="251655168" behindDoc="1" locked="0" layoutInCell="1" allowOverlap="1" wp14:anchorId="28125177" wp14:editId="49E6D19F">
            <wp:simplePos x="0" y="0"/>
            <wp:positionH relativeFrom="margin">
              <wp:posOffset>3481070</wp:posOffset>
            </wp:positionH>
            <wp:positionV relativeFrom="paragraph">
              <wp:posOffset>55245</wp:posOffset>
            </wp:positionV>
            <wp:extent cx="2481580" cy="2232025"/>
            <wp:effectExtent l="0" t="0" r="0" b="0"/>
            <wp:wrapTight wrapText="bothSides">
              <wp:wrapPolygon edited="0">
                <wp:start x="0" y="0"/>
                <wp:lineTo x="0" y="21385"/>
                <wp:lineTo x="21390" y="21385"/>
                <wp:lineTo x="21390" y="0"/>
                <wp:lineTo x="0" y="0"/>
              </wp:wrapPolygon>
            </wp:wrapTight>
            <wp:docPr id="1683797754" name="Picture 1" descr="A yellow and blu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797754" name="Picture 1" descr="A yellow and blue sign with black text&#10;&#10;AI-generated content may be incorrect."/>
                    <pic:cNvPicPr/>
                  </pic:nvPicPr>
                  <pic:blipFill rotWithShape="1">
                    <a:blip r:embed="rId32"/>
                    <a:srcRect t="18644" b="21393"/>
                    <a:stretch>
                      <a:fillRect/>
                    </a:stretch>
                  </pic:blipFill>
                  <pic:spPr bwMode="auto">
                    <a:xfrm>
                      <a:off x="0" y="0"/>
                      <a:ext cx="2481580" cy="2232025"/>
                    </a:xfrm>
                    <a:prstGeom prst="rect">
                      <a:avLst/>
                    </a:prstGeom>
                    <a:ln>
                      <a:noFill/>
                    </a:ln>
                    <a:extLst>
                      <a:ext uri="{53640926-AAD7-44D8-BBD7-CCE9431645EC}">
                        <a14:shadowObscured xmlns:a14="http://schemas.microsoft.com/office/drawing/2010/main"/>
                      </a:ext>
                    </a:extLst>
                  </pic:spPr>
                </pic:pic>
              </a:graphicData>
            </a:graphic>
          </wp:anchor>
        </w:drawing>
      </w:r>
      <w:r w:rsidR="0013353B" w:rsidRPr="00404623">
        <w:rPr>
          <w:rFonts w:ascii="Seaford" w:hAnsi="Seaford"/>
          <w:sz w:val="24"/>
          <w:szCs w:val="24"/>
        </w:rPr>
        <w:t xml:space="preserve">Creating a culture of belonging in schools is essential for fostering inclusive, connected communities where students and parents feel valued and engaged. </w:t>
      </w:r>
      <w:r w:rsidR="008075A9" w:rsidRPr="00404623">
        <w:rPr>
          <w:rFonts w:ascii="Seaford" w:hAnsi="Seaford"/>
          <w:sz w:val="24"/>
          <w:szCs w:val="24"/>
        </w:rPr>
        <w:t>“School cultures that foster trust and draw on the strengths of communities contribute to the development of young people’s sense of agency and belonging” (</w:t>
      </w:r>
      <w:hyperlink r:id="rId33" w:history="1">
        <w:r w:rsidR="008075A9" w:rsidRPr="00404623">
          <w:rPr>
            <w:rStyle w:val="Hyperlink"/>
            <w:rFonts w:ascii="Seaford" w:hAnsi="Seaford"/>
            <w:sz w:val="24"/>
            <w:szCs w:val="24"/>
          </w:rPr>
          <w:t xml:space="preserve">Riley, 2019, </w:t>
        </w:r>
        <w:r w:rsidR="00AD14EA" w:rsidRPr="00404623">
          <w:rPr>
            <w:rStyle w:val="Hyperlink"/>
            <w:rFonts w:ascii="Seaford" w:hAnsi="Seaford"/>
            <w:sz w:val="24"/>
            <w:szCs w:val="24"/>
          </w:rPr>
          <w:t>p.91</w:t>
        </w:r>
      </w:hyperlink>
      <w:r w:rsidR="00AD14EA" w:rsidRPr="00404623">
        <w:rPr>
          <w:rFonts w:ascii="Seaford" w:hAnsi="Seaford"/>
          <w:sz w:val="24"/>
          <w:szCs w:val="24"/>
        </w:rPr>
        <w:t xml:space="preserve">). </w:t>
      </w:r>
    </w:p>
    <w:p w14:paraId="68FF2598" w14:textId="2B6451A8" w:rsidR="0074523D" w:rsidRPr="00404623" w:rsidRDefault="0013353B" w:rsidP="001B1A32">
      <w:pPr>
        <w:rPr>
          <w:rFonts w:ascii="Seaford" w:hAnsi="Seaford"/>
          <w:sz w:val="24"/>
          <w:szCs w:val="24"/>
        </w:rPr>
      </w:pPr>
      <w:r w:rsidRPr="00404623">
        <w:rPr>
          <w:rFonts w:ascii="Seaford" w:hAnsi="Seaford"/>
          <w:sz w:val="24"/>
          <w:szCs w:val="24"/>
        </w:rPr>
        <w:t xml:space="preserve">This section provides practical strategies for promoting </w:t>
      </w:r>
      <w:r w:rsidR="0028007E" w:rsidRPr="00404623">
        <w:rPr>
          <w:rFonts w:ascii="Seaford" w:hAnsi="Seaford"/>
          <w:sz w:val="24"/>
          <w:szCs w:val="24"/>
        </w:rPr>
        <w:t xml:space="preserve">a whole school approach </w:t>
      </w:r>
      <w:proofErr w:type="gramStart"/>
      <w:r w:rsidR="0028007E" w:rsidRPr="00404623">
        <w:rPr>
          <w:rFonts w:ascii="Seaford" w:hAnsi="Seaford"/>
          <w:sz w:val="24"/>
          <w:szCs w:val="24"/>
        </w:rPr>
        <w:t xml:space="preserve">to </w:t>
      </w:r>
      <w:r w:rsidRPr="00404623">
        <w:rPr>
          <w:rFonts w:ascii="Seaford" w:hAnsi="Seaford"/>
          <w:sz w:val="24"/>
          <w:szCs w:val="24"/>
        </w:rPr>
        <w:t xml:space="preserve"> belonging</w:t>
      </w:r>
      <w:proofErr w:type="gramEnd"/>
      <w:r w:rsidR="0028007E" w:rsidRPr="00404623">
        <w:rPr>
          <w:rFonts w:ascii="Seaford" w:hAnsi="Seaford"/>
          <w:sz w:val="24"/>
          <w:szCs w:val="24"/>
        </w:rPr>
        <w:t xml:space="preserve">. </w:t>
      </w:r>
      <w:r w:rsidR="0055678C" w:rsidRPr="00404623">
        <w:rPr>
          <w:rFonts w:ascii="Seaford" w:hAnsi="Seaford"/>
          <w:sz w:val="24"/>
          <w:szCs w:val="24"/>
        </w:rPr>
        <w:t>I</w:t>
      </w:r>
      <w:r w:rsidR="0074523D" w:rsidRPr="00404623">
        <w:rPr>
          <w:rFonts w:ascii="Seaford" w:hAnsi="Seaford"/>
          <w:sz w:val="24"/>
          <w:szCs w:val="24"/>
        </w:rPr>
        <w:t>nterventions should be inclusive, culturally responsive, and tailored to adolescent needs.</w:t>
      </w:r>
    </w:p>
    <w:p w14:paraId="00C8640C" w14:textId="07EB667C" w:rsidR="00E2674C" w:rsidRDefault="006610CA" w:rsidP="0013353B">
      <w:pPr>
        <w:rPr>
          <w:rFonts w:ascii="Seaford" w:hAnsi="Seaford" w:cstheme="majorHAnsi"/>
          <w:sz w:val="24"/>
          <w:szCs w:val="24"/>
        </w:rPr>
      </w:pPr>
      <w:r w:rsidRPr="00404623">
        <w:rPr>
          <w:rFonts w:ascii="Seaford" w:hAnsi="Seaford"/>
          <w:sz w:val="24"/>
          <w:szCs w:val="24"/>
        </w:rPr>
        <w:t>T</w:t>
      </w:r>
      <w:r w:rsidR="00C943D7" w:rsidRPr="00404623">
        <w:rPr>
          <w:rFonts w:ascii="Seaford" w:hAnsi="Seaford"/>
          <w:sz w:val="24"/>
          <w:szCs w:val="24"/>
        </w:rPr>
        <w:t xml:space="preserve">he </w:t>
      </w:r>
      <w:r w:rsidR="00C943D7" w:rsidRPr="00404623">
        <w:rPr>
          <w:rFonts w:ascii="Seaford" w:hAnsi="Seaford" w:cstheme="majorHAnsi"/>
          <w:b/>
          <w:bCs/>
          <w:sz w:val="24"/>
          <w:szCs w:val="24"/>
        </w:rPr>
        <w:t>Socio-Ecological Model of School Belonging</w:t>
      </w:r>
      <w:r w:rsidR="00173435">
        <w:rPr>
          <w:rFonts w:ascii="Seaford" w:hAnsi="Seaford" w:cstheme="majorHAnsi"/>
          <w:b/>
          <w:bCs/>
          <w:sz w:val="24"/>
          <w:szCs w:val="24"/>
        </w:rPr>
        <w:t xml:space="preserve"> </w:t>
      </w:r>
      <w:r w:rsidR="00173435" w:rsidRPr="00173435">
        <w:rPr>
          <w:rFonts w:ascii="Seaford" w:hAnsi="Seaford" w:cstheme="majorHAnsi"/>
          <w:sz w:val="24"/>
          <w:szCs w:val="24"/>
        </w:rPr>
        <w:t>mentioned before</w:t>
      </w:r>
      <w:r w:rsidR="00C943D7" w:rsidRPr="00404623">
        <w:rPr>
          <w:rFonts w:ascii="Seaford" w:hAnsi="Seaford" w:cstheme="majorHAnsi"/>
          <w:b/>
          <w:bCs/>
          <w:sz w:val="24"/>
          <w:szCs w:val="24"/>
        </w:rPr>
        <w:t xml:space="preserve"> </w:t>
      </w:r>
      <w:r w:rsidR="00C943D7" w:rsidRPr="00404623">
        <w:rPr>
          <w:rFonts w:ascii="Seaford" w:hAnsi="Seaford" w:cstheme="majorHAnsi"/>
          <w:sz w:val="24"/>
          <w:szCs w:val="24"/>
        </w:rPr>
        <w:t>(</w:t>
      </w:r>
      <w:r w:rsidR="005A427B" w:rsidRPr="00404623">
        <w:rPr>
          <w:rFonts w:ascii="Seaford" w:hAnsi="Seaford" w:cstheme="majorHAnsi"/>
          <w:sz w:val="24"/>
          <w:szCs w:val="24"/>
        </w:rPr>
        <w:t>see image below from</w:t>
      </w:r>
      <w:r w:rsidR="00BD57EE" w:rsidRPr="00404623">
        <w:rPr>
          <w:rFonts w:ascii="Seaford" w:hAnsi="Seaford" w:cstheme="majorHAnsi"/>
          <w:sz w:val="24"/>
          <w:szCs w:val="24"/>
        </w:rPr>
        <w:t xml:space="preserve"> Allen et al., 2016</w:t>
      </w:r>
      <w:r w:rsidR="00C943D7" w:rsidRPr="00404623">
        <w:rPr>
          <w:rFonts w:ascii="Seaford" w:hAnsi="Seaford" w:cstheme="majorHAnsi"/>
          <w:sz w:val="24"/>
          <w:szCs w:val="24"/>
        </w:rPr>
        <w:t>)</w:t>
      </w:r>
      <w:r w:rsidR="00753148" w:rsidRPr="00404623">
        <w:rPr>
          <w:rFonts w:ascii="Seaford" w:hAnsi="Seaford" w:cstheme="majorHAnsi"/>
          <w:sz w:val="24"/>
          <w:szCs w:val="24"/>
        </w:rPr>
        <w:t xml:space="preserve"> </w:t>
      </w:r>
      <w:r w:rsidRPr="00404623">
        <w:rPr>
          <w:rFonts w:ascii="Seaford" w:hAnsi="Seaford" w:cstheme="majorHAnsi"/>
          <w:sz w:val="24"/>
          <w:szCs w:val="24"/>
        </w:rPr>
        <w:t xml:space="preserve">emphasizes how working at </w:t>
      </w:r>
      <w:r w:rsidR="00305A15" w:rsidRPr="00404623">
        <w:rPr>
          <w:rFonts w:ascii="Seaford" w:hAnsi="Seaford" w:cstheme="majorHAnsi"/>
          <w:sz w:val="24"/>
          <w:szCs w:val="24"/>
        </w:rPr>
        <w:t xml:space="preserve">the different </w:t>
      </w:r>
      <w:r w:rsidR="00F4700A" w:rsidRPr="00404623">
        <w:rPr>
          <w:rFonts w:ascii="Seaford" w:hAnsi="Seaford" w:cstheme="majorHAnsi"/>
          <w:sz w:val="24"/>
          <w:szCs w:val="24"/>
        </w:rPr>
        <w:t xml:space="preserve">system </w:t>
      </w:r>
      <w:r w:rsidR="00305A15" w:rsidRPr="00404623">
        <w:rPr>
          <w:rFonts w:ascii="Seaford" w:hAnsi="Seaford" w:cstheme="majorHAnsi"/>
          <w:sz w:val="24"/>
          <w:szCs w:val="24"/>
        </w:rPr>
        <w:lastRenderedPageBreak/>
        <w:t>levels</w:t>
      </w:r>
      <w:r w:rsidRPr="00404623">
        <w:rPr>
          <w:rFonts w:ascii="Seaford" w:hAnsi="Seaford" w:cstheme="majorHAnsi"/>
          <w:sz w:val="24"/>
          <w:szCs w:val="24"/>
        </w:rPr>
        <w:t xml:space="preserve"> is important for </w:t>
      </w:r>
      <w:r w:rsidR="00FF46F1" w:rsidRPr="00404623">
        <w:rPr>
          <w:rFonts w:ascii="Seaford" w:hAnsi="Seaford" w:cstheme="majorHAnsi"/>
          <w:sz w:val="24"/>
          <w:szCs w:val="24"/>
        </w:rPr>
        <w:t>the best outcomes</w:t>
      </w:r>
      <w:r w:rsidR="00E2674C" w:rsidRPr="00404623">
        <w:rPr>
          <w:rFonts w:ascii="Seaford" w:hAnsi="Seaford" w:cstheme="majorHAnsi"/>
          <w:sz w:val="24"/>
          <w:szCs w:val="24"/>
        </w:rPr>
        <w:t>.</w:t>
      </w:r>
      <w:r w:rsidR="00E2674C" w:rsidRPr="00404623">
        <w:rPr>
          <w:rFonts w:ascii="Seaford" w:hAnsi="Seaford" w:cstheme="majorHAnsi"/>
          <w:noProof/>
          <w:sz w:val="24"/>
          <w:szCs w:val="24"/>
        </w:rPr>
        <w:drawing>
          <wp:inline distT="0" distB="0" distL="0" distR="0" wp14:anchorId="3EFA46FF" wp14:editId="359216C2">
            <wp:extent cx="5486400" cy="3083560"/>
            <wp:effectExtent l="0" t="0" r="0" b="2540"/>
            <wp:docPr id="26057127" name="Picture 1" descr="A purple and white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7127" name="Picture 1" descr="A purple and white diagram&#10;&#10;AI-generated content may be incorrect."/>
                    <pic:cNvPicPr/>
                  </pic:nvPicPr>
                  <pic:blipFill>
                    <a:blip r:embed="rId34"/>
                    <a:stretch>
                      <a:fillRect/>
                    </a:stretch>
                  </pic:blipFill>
                  <pic:spPr>
                    <a:xfrm>
                      <a:off x="0" y="0"/>
                      <a:ext cx="5486400" cy="3083560"/>
                    </a:xfrm>
                    <a:prstGeom prst="rect">
                      <a:avLst/>
                    </a:prstGeom>
                  </pic:spPr>
                </pic:pic>
              </a:graphicData>
            </a:graphic>
          </wp:inline>
        </w:drawing>
      </w:r>
    </w:p>
    <w:p w14:paraId="29A14687" w14:textId="04BAADEF" w:rsidR="00E21A43" w:rsidRPr="00404623" w:rsidRDefault="00E21A43" w:rsidP="0013353B">
      <w:pPr>
        <w:rPr>
          <w:rFonts w:ascii="Seaford" w:hAnsi="Seaford" w:cstheme="majorHAnsi"/>
          <w:sz w:val="24"/>
          <w:szCs w:val="24"/>
        </w:rPr>
      </w:pPr>
      <w:r w:rsidRPr="00E21A43">
        <w:rPr>
          <w:rFonts w:ascii="Seaford" w:hAnsi="Seaford" w:cstheme="majorHAnsi"/>
          <w:i/>
          <w:iCs/>
          <w:sz w:val="24"/>
          <w:szCs w:val="24"/>
        </w:rPr>
        <w:t>Figure 5.</w:t>
      </w:r>
      <w:r>
        <w:rPr>
          <w:rFonts w:ascii="Seaford" w:hAnsi="Seaford" w:cstheme="majorHAnsi"/>
          <w:sz w:val="24"/>
          <w:szCs w:val="24"/>
        </w:rPr>
        <w:t xml:space="preserve"> </w:t>
      </w:r>
      <w:r w:rsidR="00E92E18">
        <w:rPr>
          <w:rFonts w:ascii="Seaford" w:hAnsi="Seaford" w:cstheme="majorHAnsi"/>
          <w:sz w:val="24"/>
          <w:szCs w:val="24"/>
        </w:rPr>
        <w:t xml:space="preserve">A </w:t>
      </w:r>
      <w:r>
        <w:rPr>
          <w:rFonts w:ascii="Seaford" w:hAnsi="Seaford" w:cstheme="majorHAnsi"/>
          <w:sz w:val="24"/>
          <w:szCs w:val="24"/>
        </w:rPr>
        <w:t>Whole School approach to belonging</w:t>
      </w:r>
      <w:r w:rsidR="00E92E18">
        <w:rPr>
          <w:rFonts w:ascii="Seaford" w:hAnsi="Seaford" w:cstheme="majorHAnsi"/>
          <w:sz w:val="24"/>
          <w:szCs w:val="24"/>
        </w:rPr>
        <w:t xml:space="preserve"> from and Ecological Systems Theory lens</w:t>
      </w:r>
    </w:p>
    <w:p w14:paraId="57573A13" w14:textId="1DDC7C35" w:rsidR="00467026" w:rsidRPr="00404623" w:rsidRDefault="00467026" w:rsidP="007F55E0">
      <w:pPr>
        <w:rPr>
          <w:rFonts w:ascii="Seaford" w:hAnsi="Seaford"/>
          <w:sz w:val="24"/>
          <w:szCs w:val="24"/>
          <w:lang w:val="en-GB"/>
        </w:rPr>
      </w:pPr>
      <w:r w:rsidRPr="00404623">
        <w:rPr>
          <w:rFonts w:ascii="Seaford" w:hAnsi="Seaford"/>
          <w:sz w:val="24"/>
          <w:szCs w:val="24"/>
          <w:lang w:val="en-GB"/>
        </w:rPr>
        <w:t xml:space="preserve">Schools should </w:t>
      </w:r>
      <w:r w:rsidR="00441602">
        <w:rPr>
          <w:rFonts w:ascii="Seaford" w:hAnsi="Seaford"/>
          <w:sz w:val="24"/>
          <w:szCs w:val="24"/>
          <w:lang w:val="en-GB"/>
        </w:rPr>
        <w:t xml:space="preserve">therefore </w:t>
      </w:r>
      <w:r w:rsidRPr="00404623">
        <w:rPr>
          <w:rFonts w:ascii="Seaford" w:hAnsi="Seaford"/>
          <w:sz w:val="24"/>
          <w:szCs w:val="24"/>
          <w:lang w:val="en-GB"/>
        </w:rPr>
        <w:t>adopt a </w:t>
      </w:r>
      <w:r w:rsidRPr="00404623">
        <w:rPr>
          <w:rFonts w:ascii="Seaford" w:hAnsi="Seaford"/>
          <w:b/>
          <w:bCs/>
          <w:sz w:val="24"/>
          <w:szCs w:val="24"/>
          <w:lang w:val="en-GB"/>
        </w:rPr>
        <w:t>whole-school approach</w:t>
      </w:r>
      <w:r w:rsidRPr="00404623">
        <w:rPr>
          <w:rFonts w:ascii="Seaford" w:hAnsi="Seaford"/>
          <w:sz w:val="24"/>
          <w:szCs w:val="24"/>
          <w:lang w:val="en-GB"/>
        </w:rPr>
        <w:t> that builds inclusive, collaborative communities.</w:t>
      </w:r>
      <w:r w:rsidR="00837B2F" w:rsidRPr="00404623">
        <w:rPr>
          <w:rFonts w:ascii="Seaford" w:hAnsi="Seaford"/>
          <w:sz w:val="24"/>
          <w:szCs w:val="24"/>
          <w:lang w:val="en-GB"/>
        </w:rPr>
        <w:t xml:space="preserve"> The following </w:t>
      </w:r>
      <w:r w:rsidR="00B34F0A" w:rsidRPr="00404623">
        <w:rPr>
          <w:rFonts w:ascii="Seaford" w:hAnsi="Seaford"/>
          <w:sz w:val="24"/>
          <w:szCs w:val="24"/>
          <w:lang w:val="en-GB"/>
        </w:rPr>
        <w:t>outli</w:t>
      </w:r>
      <w:r w:rsidR="00DA3017" w:rsidRPr="00404623">
        <w:rPr>
          <w:rFonts w:ascii="Seaford" w:hAnsi="Seaford"/>
          <w:sz w:val="24"/>
          <w:szCs w:val="24"/>
          <w:lang w:val="en-GB"/>
        </w:rPr>
        <w:t>n</w:t>
      </w:r>
      <w:r w:rsidR="00B34F0A" w:rsidRPr="00404623">
        <w:rPr>
          <w:rFonts w:ascii="Seaford" w:hAnsi="Seaford"/>
          <w:sz w:val="24"/>
          <w:szCs w:val="24"/>
          <w:lang w:val="en-GB"/>
        </w:rPr>
        <w:t>es key areas to focus on when develo</w:t>
      </w:r>
      <w:r w:rsidR="00C4583E" w:rsidRPr="00404623">
        <w:rPr>
          <w:rFonts w:ascii="Seaford" w:hAnsi="Seaford"/>
          <w:sz w:val="24"/>
          <w:szCs w:val="24"/>
          <w:lang w:val="en-GB"/>
        </w:rPr>
        <w:t xml:space="preserve">ping a </w:t>
      </w:r>
      <w:r w:rsidR="00837B2F" w:rsidRPr="00404623">
        <w:rPr>
          <w:rFonts w:ascii="Seaford" w:hAnsi="Seaford"/>
          <w:sz w:val="24"/>
          <w:szCs w:val="24"/>
          <w:lang w:val="en-GB"/>
        </w:rPr>
        <w:t>whole-school culture of belonging</w:t>
      </w:r>
      <w:r w:rsidR="00D04600" w:rsidRPr="00404623">
        <w:rPr>
          <w:rFonts w:ascii="Seaford" w:hAnsi="Seaford"/>
          <w:sz w:val="24"/>
          <w:szCs w:val="24"/>
          <w:lang w:val="en-GB"/>
        </w:rPr>
        <w:t>.</w:t>
      </w:r>
    </w:p>
    <w:p w14:paraId="056649E1" w14:textId="63E89FCB" w:rsidR="00467026" w:rsidRPr="00404623" w:rsidRDefault="00467026" w:rsidP="00A86EC8">
      <w:pPr>
        <w:pStyle w:val="Heading2"/>
        <w:rPr>
          <w:rFonts w:ascii="Seaford" w:hAnsi="Seaford"/>
          <w:sz w:val="24"/>
          <w:szCs w:val="24"/>
          <w:lang w:val="en-GB"/>
        </w:rPr>
      </w:pPr>
      <w:bookmarkStart w:id="13" w:name="_Toc239670475"/>
      <w:r w:rsidRPr="00404623">
        <w:rPr>
          <w:rFonts w:ascii="Seaford" w:hAnsi="Seaford"/>
          <w:sz w:val="24"/>
          <w:szCs w:val="24"/>
          <w:lang w:val="en-GB"/>
        </w:rPr>
        <w:t>Encourage Positive Relationships</w:t>
      </w:r>
      <w:bookmarkEnd w:id="13"/>
    </w:p>
    <w:p w14:paraId="402CE473" w14:textId="77777777" w:rsidR="00467026" w:rsidRPr="00404623" w:rsidRDefault="00467026" w:rsidP="00D655E5">
      <w:pPr>
        <w:pStyle w:val="ListParagraph"/>
        <w:numPr>
          <w:ilvl w:val="0"/>
          <w:numId w:val="39"/>
        </w:numPr>
        <w:rPr>
          <w:rFonts w:ascii="Seaford" w:hAnsi="Seaford"/>
          <w:sz w:val="24"/>
          <w:szCs w:val="24"/>
          <w:lang w:val="en-GB"/>
        </w:rPr>
      </w:pPr>
      <w:r w:rsidRPr="00404623">
        <w:rPr>
          <w:rFonts w:ascii="Seaford" w:hAnsi="Seaford"/>
          <w:sz w:val="24"/>
          <w:szCs w:val="24"/>
          <w:lang w:val="en-GB"/>
        </w:rPr>
        <w:t>Every student should have at least one trusted adult in school.</w:t>
      </w:r>
    </w:p>
    <w:p w14:paraId="1544F3F6" w14:textId="77777777" w:rsidR="00467026" w:rsidRPr="00404623" w:rsidRDefault="00467026" w:rsidP="00D655E5">
      <w:pPr>
        <w:pStyle w:val="ListParagraph"/>
        <w:numPr>
          <w:ilvl w:val="0"/>
          <w:numId w:val="39"/>
        </w:numPr>
        <w:rPr>
          <w:rFonts w:ascii="Seaford" w:hAnsi="Seaford"/>
          <w:sz w:val="24"/>
          <w:szCs w:val="24"/>
          <w:lang w:val="en-GB"/>
        </w:rPr>
      </w:pPr>
      <w:r w:rsidRPr="00404623">
        <w:rPr>
          <w:rFonts w:ascii="Seaford" w:hAnsi="Seaford"/>
          <w:sz w:val="24"/>
          <w:szCs w:val="24"/>
          <w:lang w:val="en-GB"/>
        </w:rPr>
        <w:t>Relationships with non-teaching staff are also important.</w:t>
      </w:r>
    </w:p>
    <w:p w14:paraId="114FD23A" w14:textId="77777777" w:rsidR="00467026" w:rsidRPr="00404623" w:rsidRDefault="00467026" w:rsidP="00D655E5">
      <w:pPr>
        <w:pStyle w:val="ListParagraph"/>
        <w:numPr>
          <w:ilvl w:val="0"/>
          <w:numId w:val="39"/>
        </w:numPr>
        <w:rPr>
          <w:rFonts w:ascii="Seaford" w:hAnsi="Seaford"/>
          <w:sz w:val="24"/>
          <w:szCs w:val="24"/>
          <w:lang w:val="en-GB"/>
        </w:rPr>
      </w:pPr>
      <w:r w:rsidRPr="00404623">
        <w:rPr>
          <w:rFonts w:ascii="Seaford" w:hAnsi="Seaford"/>
          <w:sz w:val="24"/>
          <w:szCs w:val="24"/>
          <w:lang w:val="en-GB"/>
        </w:rPr>
        <w:t>Emotional support is as vital as academic support.</w:t>
      </w:r>
    </w:p>
    <w:p w14:paraId="2A26ACF7" w14:textId="20045AD9" w:rsidR="008D16F1" w:rsidRPr="00404623" w:rsidRDefault="00521554" w:rsidP="00D655E5">
      <w:pPr>
        <w:pStyle w:val="ListParagraph"/>
        <w:numPr>
          <w:ilvl w:val="0"/>
          <w:numId w:val="39"/>
        </w:numPr>
        <w:rPr>
          <w:rFonts w:ascii="Seaford" w:hAnsi="Seaford"/>
          <w:sz w:val="24"/>
          <w:szCs w:val="24"/>
          <w:lang w:val="en-GB"/>
        </w:rPr>
      </w:pPr>
      <w:r w:rsidRPr="00404623">
        <w:rPr>
          <w:rFonts w:ascii="Seaford" w:hAnsi="Seaford"/>
          <w:sz w:val="24"/>
          <w:szCs w:val="24"/>
          <w:lang w:val="en-GB"/>
        </w:rPr>
        <w:t xml:space="preserve">A </w:t>
      </w:r>
      <w:r w:rsidR="00572E3E" w:rsidRPr="00404623">
        <w:rPr>
          <w:rFonts w:ascii="Seaford" w:hAnsi="Seaford"/>
          <w:sz w:val="24"/>
          <w:szCs w:val="24"/>
          <w:lang w:val="en-GB"/>
        </w:rPr>
        <w:t>s</w:t>
      </w:r>
      <w:r w:rsidRPr="00404623">
        <w:rPr>
          <w:rFonts w:ascii="Seaford" w:hAnsi="Seaford"/>
          <w:sz w:val="24"/>
          <w:szCs w:val="24"/>
          <w:lang w:val="en-GB"/>
        </w:rPr>
        <w:t xml:space="preserve">chool that </w:t>
      </w:r>
      <w:r w:rsidR="004B3655" w:rsidRPr="00404623">
        <w:rPr>
          <w:rFonts w:ascii="Seaford" w:hAnsi="Seaford"/>
          <w:sz w:val="24"/>
          <w:szCs w:val="24"/>
          <w:lang w:val="en-GB"/>
        </w:rPr>
        <w:t xml:space="preserve">are </w:t>
      </w:r>
      <w:r w:rsidR="00E460BB" w:rsidRPr="00404623">
        <w:rPr>
          <w:rFonts w:ascii="Seaford" w:hAnsi="Seaford"/>
          <w:sz w:val="24"/>
          <w:szCs w:val="24"/>
          <w:lang w:val="en-GB"/>
        </w:rPr>
        <w:t xml:space="preserve">actively </w:t>
      </w:r>
      <w:r w:rsidR="004B3655" w:rsidRPr="00404623">
        <w:rPr>
          <w:rFonts w:ascii="Seaford" w:hAnsi="Seaford"/>
          <w:sz w:val="24"/>
          <w:szCs w:val="24"/>
          <w:lang w:val="en-GB"/>
        </w:rPr>
        <w:t xml:space="preserve">inclusive of neurodiversity and </w:t>
      </w:r>
      <w:r w:rsidR="00BE09A5" w:rsidRPr="00404623">
        <w:rPr>
          <w:rFonts w:ascii="Seaford" w:hAnsi="Seaford"/>
          <w:sz w:val="24"/>
          <w:szCs w:val="24"/>
          <w:lang w:val="en-GB"/>
        </w:rPr>
        <w:t xml:space="preserve">emotionally differentiates </w:t>
      </w:r>
      <w:r w:rsidR="00572E3E" w:rsidRPr="00404623">
        <w:rPr>
          <w:rFonts w:ascii="Seaford" w:hAnsi="Seaford"/>
          <w:sz w:val="24"/>
          <w:szCs w:val="24"/>
          <w:lang w:val="en-GB"/>
        </w:rPr>
        <w:t>according to</w:t>
      </w:r>
      <w:r w:rsidR="00BE09A5" w:rsidRPr="00404623">
        <w:rPr>
          <w:rFonts w:ascii="Seaford" w:hAnsi="Seaford"/>
          <w:sz w:val="24"/>
          <w:szCs w:val="24"/>
          <w:lang w:val="en-GB"/>
        </w:rPr>
        <w:t xml:space="preserve"> the needs of different stu</w:t>
      </w:r>
      <w:r w:rsidR="004D2FAA" w:rsidRPr="00404623">
        <w:rPr>
          <w:rFonts w:ascii="Seaford" w:hAnsi="Seaford"/>
          <w:sz w:val="24"/>
          <w:szCs w:val="24"/>
          <w:lang w:val="en-GB"/>
        </w:rPr>
        <w:t>dents.</w:t>
      </w:r>
      <w:r w:rsidR="003B2322" w:rsidRPr="00404623">
        <w:rPr>
          <w:rFonts w:ascii="Seaford" w:hAnsi="Seaford"/>
          <w:sz w:val="24"/>
          <w:szCs w:val="24"/>
          <w:lang w:val="en-GB"/>
        </w:rPr>
        <w:t xml:space="preserve"> </w:t>
      </w:r>
      <w:r w:rsidR="003B2322" w:rsidRPr="00404623">
        <w:rPr>
          <w:rFonts w:ascii="Seaford" w:hAnsi="Seaford"/>
          <w:sz w:val="24"/>
          <w:szCs w:val="24"/>
        </w:rPr>
        <w:t xml:space="preserve">This </w:t>
      </w:r>
      <w:r w:rsidR="00A75714" w:rsidRPr="00404623">
        <w:rPr>
          <w:rFonts w:ascii="Seaford" w:hAnsi="Seaford"/>
          <w:sz w:val="24"/>
          <w:szCs w:val="24"/>
        </w:rPr>
        <w:t>means recognizing</w:t>
      </w:r>
      <w:r w:rsidR="003B2322" w:rsidRPr="00404623">
        <w:rPr>
          <w:rFonts w:ascii="Seaford" w:hAnsi="Seaford"/>
          <w:sz w:val="24"/>
          <w:szCs w:val="24"/>
        </w:rPr>
        <w:t xml:space="preserve"> that some young people need </w:t>
      </w:r>
      <w:proofErr w:type="gramStart"/>
      <w:r w:rsidR="003B2322" w:rsidRPr="00404623">
        <w:rPr>
          <w:rFonts w:ascii="Seaford" w:hAnsi="Seaford"/>
          <w:sz w:val="24"/>
          <w:szCs w:val="24"/>
        </w:rPr>
        <w:t>a more</w:t>
      </w:r>
      <w:proofErr w:type="gramEnd"/>
      <w:r w:rsidR="003B2322" w:rsidRPr="00404623">
        <w:rPr>
          <w:rFonts w:ascii="Seaford" w:hAnsi="Seaford"/>
          <w:sz w:val="24"/>
          <w:szCs w:val="24"/>
        </w:rPr>
        <w:t xml:space="preserve"> nuanced emotional support than others</w:t>
      </w:r>
      <w:r w:rsidR="00A75714" w:rsidRPr="00404623">
        <w:rPr>
          <w:rFonts w:ascii="Seaford" w:hAnsi="Seaford"/>
          <w:sz w:val="24"/>
          <w:szCs w:val="24"/>
        </w:rPr>
        <w:t>.</w:t>
      </w:r>
    </w:p>
    <w:p w14:paraId="3E40B4D7" w14:textId="5E6B8649" w:rsidR="00467026" w:rsidRPr="00404623" w:rsidRDefault="00033FF8" w:rsidP="00D655E5">
      <w:pPr>
        <w:pStyle w:val="Heading2"/>
        <w:rPr>
          <w:rFonts w:ascii="Seaford" w:hAnsi="Seaford"/>
          <w:sz w:val="24"/>
          <w:szCs w:val="24"/>
          <w:lang w:val="en-GB"/>
        </w:rPr>
      </w:pPr>
      <w:bookmarkStart w:id="14" w:name="_Toc239670476"/>
      <w:r w:rsidRPr="00404623">
        <w:rPr>
          <w:rFonts w:ascii="Seaford" w:hAnsi="Seaford"/>
          <w:sz w:val="24"/>
          <w:szCs w:val="24"/>
          <w:lang w:val="en-GB"/>
        </w:rPr>
        <w:t>Foster</w:t>
      </w:r>
      <w:r w:rsidR="00467026" w:rsidRPr="00404623">
        <w:rPr>
          <w:rFonts w:ascii="Seaford" w:hAnsi="Seaford"/>
          <w:sz w:val="24"/>
          <w:szCs w:val="24"/>
          <w:lang w:val="en-GB"/>
        </w:rPr>
        <w:t xml:space="preserve"> a Positive </w:t>
      </w:r>
      <w:r w:rsidRPr="00404623">
        <w:rPr>
          <w:rFonts w:ascii="Seaford" w:hAnsi="Seaford"/>
          <w:sz w:val="24"/>
          <w:szCs w:val="24"/>
          <w:lang w:val="en-GB"/>
        </w:rPr>
        <w:t>School Climate</w:t>
      </w:r>
      <w:bookmarkEnd w:id="14"/>
    </w:p>
    <w:p w14:paraId="536677AB" w14:textId="77777777" w:rsidR="00467026" w:rsidRPr="00404623" w:rsidRDefault="00467026" w:rsidP="00D655E5">
      <w:pPr>
        <w:pStyle w:val="ListParagraph"/>
        <w:numPr>
          <w:ilvl w:val="0"/>
          <w:numId w:val="40"/>
        </w:numPr>
        <w:rPr>
          <w:rFonts w:ascii="Seaford" w:hAnsi="Seaford"/>
          <w:sz w:val="24"/>
          <w:szCs w:val="24"/>
          <w:lang w:val="en-GB"/>
        </w:rPr>
      </w:pPr>
      <w:r w:rsidRPr="00404623">
        <w:rPr>
          <w:rFonts w:ascii="Seaford" w:hAnsi="Seaford"/>
          <w:sz w:val="24"/>
          <w:szCs w:val="24"/>
          <w:lang w:val="en-GB"/>
        </w:rPr>
        <w:t>Leadership must clearly communicate the value of belonging.</w:t>
      </w:r>
    </w:p>
    <w:p w14:paraId="1D09B39D" w14:textId="77777777" w:rsidR="00467026" w:rsidRPr="00404623" w:rsidRDefault="00467026" w:rsidP="00D655E5">
      <w:pPr>
        <w:pStyle w:val="ListParagraph"/>
        <w:numPr>
          <w:ilvl w:val="0"/>
          <w:numId w:val="40"/>
        </w:numPr>
        <w:rPr>
          <w:rFonts w:ascii="Seaford" w:hAnsi="Seaford"/>
          <w:sz w:val="24"/>
          <w:szCs w:val="24"/>
          <w:lang w:val="en-GB"/>
        </w:rPr>
      </w:pPr>
      <w:r w:rsidRPr="00404623">
        <w:rPr>
          <w:rFonts w:ascii="Seaford" w:hAnsi="Seaford"/>
          <w:sz w:val="24"/>
          <w:szCs w:val="24"/>
          <w:lang w:val="en-GB"/>
        </w:rPr>
        <w:t>Behaviour policies should include expectations around fostering belonging.</w:t>
      </w:r>
    </w:p>
    <w:p w14:paraId="183C555F" w14:textId="77777777" w:rsidR="00467026" w:rsidRPr="00404623" w:rsidRDefault="00467026" w:rsidP="00D655E5">
      <w:pPr>
        <w:pStyle w:val="ListParagraph"/>
        <w:numPr>
          <w:ilvl w:val="0"/>
          <w:numId w:val="40"/>
        </w:numPr>
        <w:rPr>
          <w:rFonts w:ascii="Seaford" w:hAnsi="Seaford"/>
          <w:sz w:val="24"/>
          <w:szCs w:val="24"/>
          <w:lang w:val="en-GB"/>
        </w:rPr>
      </w:pPr>
      <w:r w:rsidRPr="00404623">
        <w:rPr>
          <w:rFonts w:ascii="Seaford" w:hAnsi="Seaford"/>
          <w:sz w:val="24"/>
          <w:szCs w:val="24"/>
          <w:lang w:val="en-GB"/>
        </w:rPr>
        <w:t>Teach social-emotional skills from the start to support peer connection.</w:t>
      </w:r>
    </w:p>
    <w:p w14:paraId="2F61FA18" w14:textId="57B79EC7" w:rsidR="006A030A" w:rsidRPr="00404623" w:rsidRDefault="006A030A" w:rsidP="00D655E5">
      <w:pPr>
        <w:pStyle w:val="ListParagraph"/>
        <w:numPr>
          <w:ilvl w:val="0"/>
          <w:numId w:val="40"/>
        </w:numPr>
        <w:rPr>
          <w:rFonts w:ascii="Seaford" w:hAnsi="Seaford"/>
          <w:sz w:val="24"/>
          <w:szCs w:val="24"/>
          <w:lang w:val="en-GB"/>
        </w:rPr>
      </w:pPr>
      <w:r w:rsidRPr="00404623">
        <w:rPr>
          <w:rFonts w:ascii="Seaford" w:hAnsi="Seaford"/>
          <w:sz w:val="24"/>
          <w:szCs w:val="24"/>
          <w:lang w:val="en-GB"/>
        </w:rPr>
        <w:lastRenderedPageBreak/>
        <w:t xml:space="preserve">Flexible behaviour policies </w:t>
      </w:r>
      <w:r w:rsidR="00686F5E" w:rsidRPr="00404623">
        <w:rPr>
          <w:rFonts w:ascii="Seaford" w:hAnsi="Seaford"/>
          <w:sz w:val="24"/>
          <w:szCs w:val="24"/>
          <w:lang w:val="en-GB"/>
        </w:rPr>
        <w:t xml:space="preserve">that promote relational approaches to </w:t>
      </w:r>
      <w:r w:rsidR="00686877" w:rsidRPr="00404623">
        <w:rPr>
          <w:rFonts w:ascii="Seaford" w:hAnsi="Seaford"/>
          <w:sz w:val="24"/>
          <w:szCs w:val="24"/>
          <w:lang w:val="en-GB"/>
        </w:rPr>
        <w:t xml:space="preserve">discipline and emphasise </w:t>
      </w:r>
      <w:r w:rsidR="006E2A49" w:rsidRPr="00404623">
        <w:rPr>
          <w:rFonts w:ascii="Seaford" w:hAnsi="Seaford"/>
          <w:sz w:val="24"/>
          <w:szCs w:val="24"/>
          <w:lang w:val="en-GB"/>
        </w:rPr>
        <w:t>restorative</w:t>
      </w:r>
      <w:r w:rsidR="00686877" w:rsidRPr="00404623">
        <w:rPr>
          <w:rFonts w:ascii="Seaford" w:hAnsi="Seaford"/>
          <w:sz w:val="24"/>
          <w:szCs w:val="24"/>
          <w:lang w:val="en-GB"/>
        </w:rPr>
        <w:t xml:space="preserve"> practice and empathy</w:t>
      </w:r>
      <w:r w:rsidR="006E2A49" w:rsidRPr="00404623">
        <w:rPr>
          <w:rFonts w:ascii="Seaford" w:hAnsi="Seaford"/>
          <w:sz w:val="24"/>
          <w:szCs w:val="24"/>
          <w:lang w:val="en-GB"/>
        </w:rPr>
        <w:t xml:space="preserve">, and connection over punishment (see </w:t>
      </w:r>
      <w:hyperlink r:id="rId35" w:history="1">
        <w:r w:rsidR="006E2A49" w:rsidRPr="00404623">
          <w:rPr>
            <w:rStyle w:val="Hyperlink"/>
            <w:rFonts w:ascii="Seaford" w:hAnsi="Seaford" w:cstheme="majorHAnsi"/>
            <w:sz w:val="24"/>
            <w:szCs w:val="24"/>
            <w:lang w:val="en-GB"/>
          </w:rPr>
          <w:t>Rutledge (2022)</w:t>
        </w:r>
      </w:hyperlink>
    </w:p>
    <w:p w14:paraId="5DA3CDFD" w14:textId="77777777" w:rsidR="00467026" w:rsidRPr="00404623" w:rsidRDefault="00467026" w:rsidP="00A86EC8">
      <w:pPr>
        <w:pStyle w:val="Heading2"/>
        <w:rPr>
          <w:rFonts w:ascii="Seaford" w:hAnsi="Seaford"/>
          <w:sz w:val="24"/>
          <w:szCs w:val="24"/>
          <w:lang w:val="en-GB"/>
        </w:rPr>
      </w:pPr>
      <w:bookmarkStart w:id="15" w:name="_Toc239670477"/>
      <w:r w:rsidRPr="00404623">
        <w:rPr>
          <w:rFonts w:ascii="Seaford" w:hAnsi="Seaford"/>
          <w:sz w:val="24"/>
          <w:szCs w:val="24"/>
          <w:lang w:val="en-GB"/>
        </w:rPr>
        <w:t>Value Learning</w:t>
      </w:r>
      <w:bookmarkEnd w:id="15"/>
    </w:p>
    <w:p w14:paraId="6F80E0E4" w14:textId="77777777" w:rsidR="00467026" w:rsidRPr="00404623" w:rsidRDefault="00467026" w:rsidP="00D655E5">
      <w:pPr>
        <w:pStyle w:val="ListParagraph"/>
        <w:numPr>
          <w:ilvl w:val="0"/>
          <w:numId w:val="41"/>
        </w:numPr>
        <w:rPr>
          <w:rFonts w:ascii="Seaford" w:hAnsi="Seaford"/>
          <w:sz w:val="24"/>
          <w:szCs w:val="24"/>
          <w:lang w:val="en-GB"/>
        </w:rPr>
      </w:pPr>
      <w:r w:rsidRPr="00404623">
        <w:rPr>
          <w:rFonts w:ascii="Seaford" w:hAnsi="Seaford"/>
          <w:sz w:val="24"/>
          <w:szCs w:val="24"/>
          <w:lang w:val="en-GB"/>
        </w:rPr>
        <w:t>Emphasise the purpose and relevance of learning.</w:t>
      </w:r>
    </w:p>
    <w:p w14:paraId="3E407082" w14:textId="77777777" w:rsidR="00467026" w:rsidRPr="00404623" w:rsidRDefault="00467026" w:rsidP="00D655E5">
      <w:pPr>
        <w:pStyle w:val="ListParagraph"/>
        <w:numPr>
          <w:ilvl w:val="0"/>
          <w:numId w:val="41"/>
        </w:numPr>
        <w:rPr>
          <w:rFonts w:ascii="Seaford" w:hAnsi="Seaford"/>
          <w:sz w:val="24"/>
          <w:szCs w:val="24"/>
          <w:lang w:val="en-GB"/>
        </w:rPr>
      </w:pPr>
      <w:r w:rsidRPr="00404623">
        <w:rPr>
          <w:rFonts w:ascii="Seaford" w:hAnsi="Seaford"/>
          <w:sz w:val="24"/>
          <w:szCs w:val="24"/>
          <w:lang w:val="en-GB"/>
        </w:rPr>
        <w:t>Set appropriate expectations.</w:t>
      </w:r>
    </w:p>
    <w:p w14:paraId="4928F16F" w14:textId="7B15EA05" w:rsidR="00467026" w:rsidRPr="00404623" w:rsidRDefault="0001513D" w:rsidP="00D655E5">
      <w:pPr>
        <w:pStyle w:val="ListParagraph"/>
        <w:numPr>
          <w:ilvl w:val="0"/>
          <w:numId w:val="41"/>
        </w:numPr>
        <w:rPr>
          <w:rFonts w:ascii="Seaford" w:hAnsi="Seaford"/>
          <w:sz w:val="24"/>
          <w:szCs w:val="24"/>
          <w:lang w:val="en-GB"/>
        </w:rPr>
      </w:pPr>
      <w:r w:rsidRPr="00404623">
        <w:rPr>
          <w:rFonts w:ascii="Seaford" w:hAnsi="Seaford"/>
          <w:sz w:val="24"/>
          <w:szCs w:val="24"/>
          <w:lang w:val="en-GB"/>
        </w:rPr>
        <w:t>Teachers d</w:t>
      </w:r>
      <w:r w:rsidR="00467026" w:rsidRPr="00404623">
        <w:rPr>
          <w:rFonts w:ascii="Seaford" w:hAnsi="Seaford"/>
          <w:sz w:val="24"/>
          <w:szCs w:val="24"/>
          <w:lang w:val="en-GB"/>
        </w:rPr>
        <w:t>emonstrate confidence and passion in their teaching.</w:t>
      </w:r>
    </w:p>
    <w:p w14:paraId="42C310BB" w14:textId="7E4F000E" w:rsidR="00467026" w:rsidRPr="00404623" w:rsidRDefault="00467026" w:rsidP="00156188">
      <w:pPr>
        <w:pStyle w:val="Heading2"/>
        <w:rPr>
          <w:rFonts w:ascii="Seaford" w:hAnsi="Seaford"/>
          <w:sz w:val="24"/>
          <w:szCs w:val="24"/>
          <w:lang w:val="en-GB"/>
        </w:rPr>
      </w:pPr>
      <w:bookmarkStart w:id="16" w:name="_Toc239670478"/>
      <w:r w:rsidRPr="00404623">
        <w:rPr>
          <w:rFonts w:ascii="Seaford" w:hAnsi="Seaford"/>
          <w:sz w:val="24"/>
          <w:szCs w:val="24"/>
          <w:lang w:val="en-GB"/>
        </w:rPr>
        <w:t>Proactively Support Mental Health</w:t>
      </w:r>
      <w:bookmarkEnd w:id="16"/>
    </w:p>
    <w:p w14:paraId="5065B4DE" w14:textId="0A4C688B" w:rsidR="00467026" w:rsidRPr="00404623" w:rsidRDefault="00467026" w:rsidP="00D655E5">
      <w:pPr>
        <w:pStyle w:val="ListParagraph"/>
        <w:numPr>
          <w:ilvl w:val="0"/>
          <w:numId w:val="41"/>
        </w:numPr>
        <w:rPr>
          <w:rFonts w:ascii="Seaford" w:hAnsi="Seaford"/>
          <w:sz w:val="24"/>
          <w:szCs w:val="24"/>
          <w:lang w:val="en-GB"/>
        </w:rPr>
      </w:pPr>
      <w:r w:rsidRPr="00404623">
        <w:rPr>
          <w:rFonts w:ascii="Seaford" w:hAnsi="Seaford"/>
          <w:sz w:val="24"/>
          <w:szCs w:val="24"/>
          <w:lang w:val="en-GB"/>
        </w:rPr>
        <w:t>Staff need CPD to identify and respond to wellbeing concerns.</w:t>
      </w:r>
    </w:p>
    <w:p w14:paraId="68D887CE" w14:textId="310790D5" w:rsidR="00467026" w:rsidRPr="00404623" w:rsidRDefault="00467026" w:rsidP="00D655E5">
      <w:pPr>
        <w:pStyle w:val="ListParagraph"/>
        <w:numPr>
          <w:ilvl w:val="0"/>
          <w:numId w:val="41"/>
        </w:numPr>
        <w:rPr>
          <w:rFonts w:ascii="Seaford" w:hAnsi="Seaford"/>
          <w:sz w:val="24"/>
          <w:szCs w:val="24"/>
          <w:lang w:val="en-GB"/>
        </w:rPr>
      </w:pPr>
      <w:r w:rsidRPr="00404623">
        <w:rPr>
          <w:rFonts w:ascii="Seaford" w:hAnsi="Seaford"/>
          <w:sz w:val="24"/>
          <w:szCs w:val="24"/>
          <w:lang w:val="en-GB"/>
        </w:rPr>
        <w:t>Knowing students well helps staff notice subtle changes in behaviour.</w:t>
      </w:r>
    </w:p>
    <w:p w14:paraId="55DEDDE6" w14:textId="23E044E3" w:rsidR="00467026" w:rsidRPr="00404623" w:rsidRDefault="00467026" w:rsidP="00D655E5">
      <w:pPr>
        <w:pStyle w:val="ListParagraph"/>
        <w:numPr>
          <w:ilvl w:val="0"/>
          <w:numId w:val="41"/>
        </w:numPr>
        <w:rPr>
          <w:rFonts w:ascii="Seaford" w:hAnsi="Seaford"/>
          <w:sz w:val="24"/>
          <w:szCs w:val="24"/>
          <w:lang w:val="en-GB"/>
        </w:rPr>
      </w:pPr>
      <w:r w:rsidRPr="00404623">
        <w:rPr>
          <w:rFonts w:ascii="Seaford" w:hAnsi="Seaford"/>
          <w:sz w:val="24"/>
          <w:szCs w:val="24"/>
          <w:lang w:val="en-GB"/>
        </w:rPr>
        <w:t>Early intervention can prevent more serious issues.</w:t>
      </w:r>
    </w:p>
    <w:p w14:paraId="61F3A841" w14:textId="200DBD38" w:rsidR="00467026" w:rsidRPr="00404623" w:rsidRDefault="00467026" w:rsidP="00A86EC8">
      <w:pPr>
        <w:pStyle w:val="Heading2"/>
        <w:rPr>
          <w:rFonts w:ascii="Seaford" w:hAnsi="Seaford"/>
          <w:sz w:val="24"/>
          <w:szCs w:val="24"/>
          <w:lang w:val="en-GB"/>
        </w:rPr>
      </w:pPr>
      <w:bookmarkStart w:id="17" w:name="_Toc239670479"/>
      <w:r w:rsidRPr="00404623">
        <w:rPr>
          <w:rFonts w:ascii="Seaford" w:hAnsi="Seaford"/>
          <w:sz w:val="24"/>
          <w:szCs w:val="24"/>
          <w:lang w:val="en-GB"/>
        </w:rPr>
        <w:t>Engage Parents</w:t>
      </w:r>
      <w:bookmarkEnd w:id="17"/>
    </w:p>
    <w:p w14:paraId="5B8AAE70" w14:textId="698A86C4" w:rsidR="00467026" w:rsidRPr="00404623" w:rsidRDefault="00467026" w:rsidP="0086291D">
      <w:pPr>
        <w:pStyle w:val="ListParagraph"/>
        <w:numPr>
          <w:ilvl w:val="0"/>
          <w:numId w:val="38"/>
        </w:numPr>
        <w:rPr>
          <w:rFonts w:ascii="Seaford" w:hAnsi="Seaford"/>
          <w:sz w:val="24"/>
          <w:szCs w:val="24"/>
          <w:lang w:val="en-GB"/>
        </w:rPr>
      </w:pPr>
      <w:r w:rsidRPr="00404623">
        <w:rPr>
          <w:rFonts w:ascii="Seaford" w:hAnsi="Seaford"/>
          <w:sz w:val="24"/>
          <w:szCs w:val="24"/>
          <w:lang w:val="en-GB"/>
        </w:rPr>
        <w:t>Parents’ attitudes toward school influence their children’s sense of belonging.</w:t>
      </w:r>
    </w:p>
    <w:p w14:paraId="6FF31D15" w14:textId="3CF911C1" w:rsidR="00467026" w:rsidRPr="00404623" w:rsidRDefault="00467026" w:rsidP="0086291D">
      <w:pPr>
        <w:pStyle w:val="ListParagraph"/>
        <w:numPr>
          <w:ilvl w:val="0"/>
          <w:numId w:val="38"/>
        </w:numPr>
        <w:rPr>
          <w:rFonts w:ascii="Seaford" w:hAnsi="Seaford"/>
          <w:sz w:val="24"/>
          <w:szCs w:val="24"/>
          <w:lang w:val="en-GB"/>
        </w:rPr>
      </w:pPr>
      <w:r w:rsidRPr="00404623">
        <w:rPr>
          <w:rFonts w:ascii="Seaford" w:hAnsi="Seaford"/>
          <w:sz w:val="24"/>
          <w:szCs w:val="24"/>
          <w:lang w:val="en-GB"/>
        </w:rPr>
        <w:t>Communicate the importance of belonging.</w:t>
      </w:r>
    </w:p>
    <w:p w14:paraId="5CAFA17E" w14:textId="23D81819" w:rsidR="00467026" w:rsidRDefault="00467026" w:rsidP="0086291D">
      <w:pPr>
        <w:pStyle w:val="ListParagraph"/>
        <w:numPr>
          <w:ilvl w:val="0"/>
          <w:numId w:val="38"/>
        </w:numPr>
        <w:rPr>
          <w:rFonts w:ascii="Seaford" w:hAnsi="Seaford"/>
          <w:sz w:val="24"/>
          <w:szCs w:val="24"/>
          <w:lang w:val="en-GB"/>
        </w:rPr>
      </w:pPr>
      <w:r w:rsidRPr="00404623">
        <w:rPr>
          <w:rFonts w:ascii="Seaford" w:hAnsi="Seaford"/>
          <w:sz w:val="24"/>
          <w:szCs w:val="24"/>
          <w:lang w:val="en-GB"/>
        </w:rPr>
        <w:t>Build a strong sense of community with families.</w:t>
      </w:r>
    </w:p>
    <w:p w14:paraId="6628F3CF" w14:textId="2C573861" w:rsidR="006F601B" w:rsidRDefault="004861FE" w:rsidP="0024736C">
      <w:pPr>
        <w:pStyle w:val="Heading2"/>
        <w:rPr>
          <w:lang w:val="en-GB"/>
        </w:rPr>
      </w:pPr>
      <w:bookmarkStart w:id="18" w:name="_Toc239670480"/>
      <w:r w:rsidRPr="004861FE">
        <w:rPr>
          <w:lang w:val="en-GB"/>
        </w:rPr>
        <w:t>Promote Equity, Inclusion and Representation</w:t>
      </w:r>
      <w:bookmarkEnd w:id="18"/>
    </w:p>
    <w:p w14:paraId="5067C5A3"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Ensure pupils see their cultures, languages, identities and experiences reflected in displays, resources and the curriculum.</w:t>
      </w:r>
    </w:p>
    <w:p w14:paraId="3815F07B"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Create opportunities for pupils, families and staff to share and celebrate diverse cultures, languages and traditions.</w:t>
      </w:r>
    </w:p>
    <w:p w14:paraId="3CB77899"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Make communication accessible through translated materials and interpreters where needed.</w:t>
      </w:r>
    </w:p>
    <w:p w14:paraId="659A5E38"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Challenge discrimination, prejudice and bias, including racism and microaggressions.</w:t>
      </w:r>
    </w:p>
    <w:p w14:paraId="6E1D85F9"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Review attendance, behaviour and exclusion data to identify and address inequities affecting particular groups.</w:t>
      </w:r>
    </w:p>
    <w:p w14:paraId="7DA9966B"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Seek the views of underrepresented pupils and families and use their feedback to shape school practice.</w:t>
      </w:r>
    </w:p>
    <w:p w14:paraId="6DFC758A"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Avoid deficit narratives such as "hard-to-reach families" and adopt a stance of curiosity, collaboration and partnership.</w:t>
      </w:r>
    </w:p>
    <w:p w14:paraId="093613EA" w14:textId="77777777" w:rsidR="008D7796" w:rsidRPr="00D52C2A" w:rsidRDefault="008D7796" w:rsidP="00D52C2A">
      <w:pPr>
        <w:pStyle w:val="ListParagraph"/>
        <w:numPr>
          <w:ilvl w:val="0"/>
          <w:numId w:val="48"/>
        </w:numPr>
        <w:rPr>
          <w:rFonts w:ascii="Seaford" w:hAnsi="Seaford"/>
          <w:sz w:val="24"/>
          <w:szCs w:val="24"/>
          <w:lang w:val="en-GB"/>
        </w:rPr>
      </w:pPr>
      <w:r w:rsidRPr="00D52C2A">
        <w:rPr>
          <w:rFonts w:ascii="Seaford" w:hAnsi="Seaford"/>
          <w:sz w:val="24"/>
          <w:szCs w:val="24"/>
          <w:lang w:val="en-GB"/>
        </w:rPr>
        <w:t>Ensure leadership opportunities, pupil voice groups and extracurricular activities are representative of the school community.</w:t>
      </w:r>
    </w:p>
    <w:p w14:paraId="2D434B5B" w14:textId="7AA6B752" w:rsidR="006352A8" w:rsidRDefault="008D7796">
      <w:pPr>
        <w:pStyle w:val="ListParagraph"/>
        <w:numPr>
          <w:ilvl w:val="0"/>
          <w:numId w:val="48"/>
        </w:numPr>
        <w:rPr>
          <w:rFonts w:ascii="Seaford" w:hAnsi="Seaford"/>
          <w:sz w:val="24"/>
          <w:szCs w:val="24"/>
          <w:lang w:val="en-GB"/>
        </w:rPr>
      </w:pPr>
      <w:r w:rsidRPr="00D52C2A">
        <w:rPr>
          <w:rFonts w:ascii="Seaford" w:hAnsi="Seaford"/>
          <w:sz w:val="24"/>
          <w:szCs w:val="24"/>
          <w:lang w:val="en-GB"/>
        </w:rPr>
        <w:lastRenderedPageBreak/>
        <w:t>Help all pupils feel that they are seen, respected, valued and able to belong as their authentic selves.</w:t>
      </w:r>
    </w:p>
    <w:p w14:paraId="5A274110" w14:textId="15538C2C" w:rsidR="00366F9B" w:rsidRPr="00366F9B" w:rsidRDefault="00366F9B" w:rsidP="00366F9B">
      <w:pPr>
        <w:pStyle w:val="ListParagraph"/>
        <w:numPr>
          <w:ilvl w:val="0"/>
          <w:numId w:val="48"/>
        </w:numPr>
        <w:spacing w:before="100" w:beforeAutospacing="1" w:after="100" w:afterAutospacing="1" w:line="240" w:lineRule="auto"/>
        <w:rPr>
          <w:rFonts w:ascii="Times New Roman" w:eastAsia="Times New Roman" w:hAnsi="Times New Roman" w:cs="Times New Roman"/>
          <w:sz w:val="24"/>
          <w:szCs w:val="24"/>
          <w:lang w:val="en-GB" w:eastAsia="en-GB"/>
        </w:rPr>
      </w:pPr>
      <w:r w:rsidRPr="00366F9B">
        <w:rPr>
          <w:noProof/>
          <w:lang w:val="en-GB" w:eastAsia="en-GB"/>
        </w:rPr>
        <w:drawing>
          <wp:inline distT="0" distB="0" distL="0" distR="0" wp14:anchorId="18B7B1A8" wp14:editId="267F8821">
            <wp:extent cx="4927600" cy="4927600"/>
            <wp:effectExtent l="19050" t="19050" r="25400" b="25400"/>
            <wp:docPr id="18195045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27600" cy="4927600"/>
                    </a:xfrm>
                    <a:prstGeom prst="rect">
                      <a:avLst/>
                    </a:prstGeom>
                    <a:noFill/>
                    <a:ln>
                      <a:solidFill>
                        <a:schemeClr val="accent1"/>
                      </a:solidFill>
                    </a:ln>
                  </pic:spPr>
                </pic:pic>
              </a:graphicData>
            </a:graphic>
          </wp:inline>
        </w:drawing>
      </w:r>
    </w:p>
    <w:p w14:paraId="2B93D20A" w14:textId="77777777" w:rsidR="00366F9B" w:rsidRDefault="00366F9B" w:rsidP="00D52C2A">
      <w:pPr>
        <w:pStyle w:val="ListParagraph"/>
        <w:rPr>
          <w:rFonts w:ascii="Seaford" w:hAnsi="Seaford"/>
          <w:sz w:val="24"/>
          <w:szCs w:val="24"/>
          <w:lang w:val="en-GB"/>
        </w:rPr>
      </w:pPr>
    </w:p>
    <w:p w14:paraId="167B136A" w14:textId="186FCCB2" w:rsidR="005668DC" w:rsidRPr="00D52C2A" w:rsidRDefault="005668DC" w:rsidP="00D52C2A">
      <w:pPr>
        <w:pStyle w:val="ListParagraph"/>
        <w:rPr>
          <w:rFonts w:ascii="Seaford" w:hAnsi="Seaford"/>
          <w:sz w:val="24"/>
          <w:szCs w:val="24"/>
          <w:lang w:val="en-GB"/>
        </w:rPr>
      </w:pPr>
      <w:r w:rsidRPr="005668DC">
        <w:rPr>
          <w:rFonts w:ascii="Seaford" w:hAnsi="Seaford"/>
          <w:i/>
          <w:iCs/>
          <w:sz w:val="24"/>
          <w:szCs w:val="24"/>
          <w:lang w:val="en-GB"/>
        </w:rPr>
        <w:t>Figure 6.</w:t>
      </w:r>
      <w:r>
        <w:rPr>
          <w:rFonts w:ascii="Seaford" w:hAnsi="Seaford"/>
          <w:sz w:val="24"/>
          <w:szCs w:val="24"/>
          <w:lang w:val="en-GB"/>
        </w:rPr>
        <w:t xml:space="preserve"> Social Graces applied to</w:t>
      </w:r>
      <w:r w:rsidR="008C1A7B">
        <w:rPr>
          <w:rFonts w:ascii="Seaford" w:hAnsi="Seaford"/>
          <w:sz w:val="24"/>
          <w:szCs w:val="24"/>
          <w:lang w:val="en-GB"/>
        </w:rPr>
        <w:t xml:space="preserve"> </w:t>
      </w:r>
      <w:r>
        <w:rPr>
          <w:rFonts w:ascii="Seaford" w:hAnsi="Seaford"/>
          <w:sz w:val="24"/>
          <w:szCs w:val="24"/>
          <w:lang w:val="en-GB"/>
        </w:rPr>
        <w:t>school belonging.</w:t>
      </w:r>
    </w:p>
    <w:p w14:paraId="74F773AD" w14:textId="2886EDDE" w:rsidR="00A21BBD" w:rsidRPr="00A21BBD" w:rsidRDefault="00A21BBD" w:rsidP="00A21BBD">
      <w:pPr>
        <w:pStyle w:val="Heading2"/>
        <w:rPr>
          <w:lang w:val="en-GB"/>
        </w:rPr>
      </w:pPr>
      <w:bookmarkStart w:id="19" w:name="_Toc239670481"/>
      <w:r w:rsidRPr="00404623">
        <w:rPr>
          <w:rFonts w:ascii="Seaford" w:hAnsi="Seaford"/>
          <w:noProof/>
        </w:rPr>
        <w:lastRenderedPageBreak/>
        <w:drawing>
          <wp:anchor distT="0" distB="0" distL="114300" distR="114300" simplePos="0" relativeHeight="251663360" behindDoc="1" locked="0" layoutInCell="1" allowOverlap="1" wp14:anchorId="41B389F5" wp14:editId="10994C92">
            <wp:simplePos x="0" y="0"/>
            <wp:positionH relativeFrom="column">
              <wp:posOffset>3009900</wp:posOffset>
            </wp:positionH>
            <wp:positionV relativeFrom="paragraph">
              <wp:posOffset>50165</wp:posOffset>
            </wp:positionV>
            <wp:extent cx="2880783" cy="4321175"/>
            <wp:effectExtent l="0" t="0" r="0" b="3175"/>
            <wp:wrapTight wrapText="bothSides">
              <wp:wrapPolygon edited="0">
                <wp:start x="0" y="0"/>
                <wp:lineTo x="0" y="21521"/>
                <wp:lineTo x="21429" y="21521"/>
                <wp:lineTo x="21429" y="0"/>
                <wp:lineTo x="0" y="0"/>
              </wp:wrapPolygon>
            </wp:wrapTight>
            <wp:docPr id="1900703505" name="Picture 2" descr="A poster of a variety of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18374" name="Picture 2" descr="A poster of a variety of colors&#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80783" cy="4321175"/>
                    </a:xfrm>
                    <a:prstGeom prst="rect">
                      <a:avLst/>
                    </a:prstGeom>
                    <a:noFill/>
                    <a:ln>
                      <a:noFill/>
                    </a:ln>
                  </pic:spPr>
                </pic:pic>
              </a:graphicData>
            </a:graphic>
          </wp:anchor>
        </w:drawing>
      </w:r>
      <w:r w:rsidRPr="00A21BBD">
        <w:rPr>
          <w:lang w:val="en-GB"/>
        </w:rPr>
        <w:t>Classroom Strategies</w:t>
      </w:r>
      <w:bookmarkEnd w:id="19"/>
    </w:p>
    <w:p w14:paraId="253D7025" w14:textId="60975439" w:rsidR="00D85BFC" w:rsidRPr="00404623" w:rsidRDefault="00C06B55" w:rsidP="007F55E0">
      <w:pPr>
        <w:rPr>
          <w:rFonts w:ascii="Seaford" w:hAnsi="Seaford"/>
          <w:sz w:val="24"/>
          <w:szCs w:val="24"/>
          <w:lang w:val="en-GB"/>
        </w:rPr>
      </w:pPr>
      <w:r w:rsidRPr="00404623">
        <w:rPr>
          <w:rFonts w:ascii="Seaford" w:hAnsi="Seaford"/>
          <w:sz w:val="24"/>
          <w:szCs w:val="24"/>
          <w:lang w:val="en-GB"/>
        </w:rPr>
        <w:t>Here</w:t>
      </w:r>
      <w:r w:rsidR="00D85BFC" w:rsidRPr="00404623">
        <w:rPr>
          <w:rFonts w:ascii="Seaford" w:hAnsi="Seaford"/>
          <w:sz w:val="24"/>
          <w:szCs w:val="24"/>
          <w:lang w:val="en-GB"/>
        </w:rPr>
        <w:t xml:space="preserve"> are </w:t>
      </w:r>
      <w:r w:rsidR="00250EE2" w:rsidRPr="00404623">
        <w:rPr>
          <w:rFonts w:ascii="Seaford" w:hAnsi="Seaford"/>
          <w:sz w:val="24"/>
          <w:szCs w:val="24"/>
          <w:lang w:val="en-GB"/>
        </w:rPr>
        <w:t>some</w:t>
      </w:r>
      <w:r w:rsidR="00D85BFC" w:rsidRPr="00404623">
        <w:rPr>
          <w:rFonts w:ascii="Seaford" w:hAnsi="Seaford"/>
          <w:sz w:val="24"/>
          <w:szCs w:val="24"/>
          <w:lang w:val="en-GB"/>
        </w:rPr>
        <w:t xml:space="preserve"> practical ways to embed belonging into everyday classroom life</w:t>
      </w:r>
      <w:r w:rsidR="00A22F87" w:rsidRPr="00404623">
        <w:rPr>
          <w:rFonts w:ascii="Seaford" w:hAnsi="Seaford"/>
          <w:sz w:val="24"/>
          <w:szCs w:val="24"/>
          <w:lang w:val="en-GB"/>
        </w:rPr>
        <w:t>.</w:t>
      </w:r>
    </w:p>
    <w:p w14:paraId="4C243831" w14:textId="1CDDC405" w:rsidR="00A21BBD" w:rsidRDefault="00A21BBD" w:rsidP="00A21BBD">
      <w:pPr>
        <w:rPr>
          <w:rFonts w:ascii="Seaford" w:hAnsi="Seaford"/>
          <w:i/>
          <w:iCs/>
          <w:sz w:val="24"/>
          <w:szCs w:val="24"/>
          <w:lang w:val="en-GB"/>
        </w:rPr>
      </w:pPr>
      <w:r w:rsidRPr="00404623">
        <w:rPr>
          <w:rFonts w:ascii="Seaford" w:hAnsi="Seaford"/>
          <w:i/>
          <w:iCs/>
          <w:sz w:val="24"/>
          <w:szCs w:val="24"/>
          <w:lang w:val="en-GB"/>
        </w:rPr>
        <w:t>Your link EP can support you in thinking about appropriate interventions for your context based on the above recommendations</w:t>
      </w:r>
      <w:r w:rsidRPr="00404623">
        <w:rPr>
          <w:rFonts w:ascii="Seaford" w:hAnsi="Seaford"/>
          <w:sz w:val="24"/>
          <w:szCs w:val="24"/>
          <w:lang w:val="en-GB"/>
        </w:rPr>
        <w:t xml:space="preserve">. </w:t>
      </w:r>
    </w:p>
    <w:p w14:paraId="777EEC36" w14:textId="77777777" w:rsidR="00BE4D91" w:rsidRPr="00404623" w:rsidRDefault="00BE4D91" w:rsidP="0BDDC9FF">
      <w:pPr>
        <w:rPr>
          <w:rFonts w:ascii="Seaford" w:hAnsi="Seaford"/>
          <w:sz w:val="24"/>
          <w:szCs w:val="24"/>
          <w:lang w:val="en-GB"/>
        </w:rPr>
      </w:pPr>
    </w:p>
    <w:p w14:paraId="78504960" w14:textId="77777777" w:rsidR="00BE4D91" w:rsidRPr="00404623" w:rsidRDefault="00BE4D91" w:rsidP="0BDDC9FF">
      <w:pPr>
        <w:rPr>
          <w:rFonts w:ascii="Seaford" w:hAnsi="Seaford"/>
          <w:sz w:val="24"/>
          <w:szCs w:val="24"/>
          <w:lang w:val="en-GB"/>
        </w:rPr>
      </w:pPr>
    </w:p>
    <w:p w14:paraId="3A10945F" w14:textId="77777777" w:rsidR="00BE4D91" w:rsidRPr="00404623" w:rsidRDefault="00BE4D91" w:rsidP="0BDDC9FF">
      <w:pPr>
        <w:rPr>
          <w:rFonts w:ascii="Seaford" w:hAnsi="Seaford"/>
          <w:sz w:val="24"/>
          <w:szCs w:val="24"/>
          <w:lang w:val="en-GB"/>
        </w:rPr>
      </w:pPr>
    </w:p>
    <w:p w14:paraId="5E043598" w14:textId="77777777" w:rsidR="00BE4D91" w:rsidRPr="00404623" w:rsidRDefault="00BE4D91" w:rsidP="0BDDC9FF">
      <w:pPr>
        <w:rPr>
          <w:rFonts w:ascii="Seaford" w:hAnsi="Seaford"/>
          <w:sz w:val="24"/>
          <w:szCs w:val="24"/>
          <w:lang w:val="en-GB"/>
        </w:rPr>
      </w:pPr>
    </w:p>
    <w:p w14:paraId="137DF313" w14:textId="77777777" w:rsidR="00BE4D91" w:rsidRPr="00404623" w:rsidRDefault="00BE4D91" w:rsidP="0BDDC9FF">
      <w:pPr>
        <w:rPr>
          <w:rFonts w:ascii="Seaford" w:hAnsi="Seaford"/>
          <w:sz w:val="24"/>
          <w:szCs w:val="24"/>
          <w:lang w:val="en-GB"/>
        </w:rPr>
      </w:pPr>
    </w:p>
    <w:p w14:paraId="019E78C0" w14:textId="77777777" w:rsidR="00BE4D91" w:rsidRPr="00404623" w:rsidRDefault="00BE4D91" w:rsidP="0BDDC9FF">
      <w:pPr>
        <w:rPr>
          <w:rFonts w:ascii="Seaford" w:hAnsi="Seaford"/>
          <w:sz w:val="24"/>
          <w:szCs w:val="24"/>
          <w:lang w:val="en-GB"/>
        </w:rPr>
      </w:pPr>
    </w:p>
    <w:p w14:paraId="716E1CEF" w14:textId="2E95C0EA" w:rsidR="00462171" w:rsidRPr="00404623" w:rsidRDefault="00462171" w:rsidP="007F55E0">
      <w:pPr>
        <w:pStyle w:val="Heading1"/>
        <w:numPr>
          <w:ilvl w:val="0"/>
          <w:numId w:val="24"/>
        </w:numPr>
        <w:rPr>
          <w:rFonts w:ascii="Seaford" w:hAnsi="Seaford"/>
          <w:sz w:val="24"/>
          <w:szCs w:val="24"/>
        </w:rPr>
      </w:pPr>
      <w:bookmarkStart w:id="20" w:name="_Toc239670482"/>
      <w:r w:rsidRPr="00404623">
        <w:rPr>
          <w:rFonts w:ascii="Seaford" w:hAnsi="Seaford"/>
          <w:sz w:val="24"/>
          <w:szCs w:val="24"/>
        </w:rPr>
        <w:t>Conducting Action Research</w:t>
      </w:r>
      <w:bookmarkEnd w:id="20"/>
    </w:p>
    <w:p w14:paraId="09F829FE" w14:textId="3D2FA2E0" w:rsidR="00974914" w:rsidRPr="00404623" w:rsidRDefault="00462171" w:rsidP="00974914">
      <w:pPr>
        <w:rPr>
          <w:rFonts w:ascii="Seaford" w:hAnsi="Seaford"/>
          <w:sz w:val="24"/>
          <w:szCs w:val="24"/>
        </w:rPr>
      </w:pPr>
      <w:r w:rsidRPr="00404623">
        <w:rPr>
          <w:rFonts w:ascii="Seaford" w:hAnsi="Seaford"/>
          <w:sz w:val="24"/>
          <w:szCs w:val="24"/>
        </w:rPr>
        <w:t xml:space="preserve">Action research empowers schools to explore and enhance students’ sense of belonging through collaborative inquiry. </w:t>
      </w:r>
      <w:r w:rsidR="00455776" w:rsidRPr="00404623">
        <w:rPr>
          <w:rFonts w:ascii="Seaford" w:hAnsi="Seaford"/>
          <w:sz w:val="24"/>
          <w:szCs w:val="24"/>
        </w:rPr>
        <w:t>It also helps you understand if your approaches are working</w:t>
      </w:r>
      <w:r w:rsidR="00FF06F9" w:rsidRPr="00404623">
        <w:rPr>
          <w:rFonts w:ascii="Seaford" w:hAnsi="Seaford"/>
          <w:sz w:val="24"/>
          <w:szCs w:val="24"/>
        </w:rPr>
        <w:t>.</w:t>
      </w:r>
      <w:r w:rsidRPr="00404623">
        <w:rPr>
          <w:rFonts w:ascii="Seaford" w:hAnsi="Seaford"/>
          <w:sz w:val="24"/>
          <w:szCs w:val="24"/>
        </w:rPr>
        <w:t xml:space="preserve"> </w:t>
      </w:r>
      <w:r w:rsidR="00974914" w:rsidRPr="00404623">
        <w:rPr>
          <w:rFonts w:ascii="Seaford" w:hAnsi="Seaford"/>
          <w:sz w:val="24"/>
          <w:szCs w:val="24"/>
        </w:rPr>
        <w:t>“Engagement in collaborative research inquiry about place and belonging helps develop that sense of belonging and is a powerful tool for positive school transformation” (</w:t>
      </w:r>
      <w:hyperlink r:id="rId38" w:history="1">
        <w:r w:rsidR="00974914" w:rsidRPr="00404623">
          <w:rPr>
            <w:rStyle w:val="Hyperlink"/>
            <w:rFonts w:ascii="Seaford" w:hAnsi="Seaford"/>
            <w:sz w:val="24"/>
            <w:szCs w:val="24"/>
          </w:rPr>
          <w:t>Riley, 2019, p.91</w:t>
        </w:r>
      </w:hyperlink>
      <w:r w:rsidR="00974914" w:rsidRPr="00404623">
        <w:rPr>
          <w:rFonts w:ascii="Seaford" w:hAnsi="Seaford"/>
          <w:sz w:val="24"/>
          <w:szCs w:val="24"/>
        </w:rPr>
        <w:t>).</w:t>
      </w:r>
    </w:p>
    <w:p w14:paraId="3F9996DA" w14:textId="77777777" w:rsidR="00A37F03" w:rsidRPr="00404623" w:rsidRDefault="00462171" w:rsidP="00974914">
      <w:pPr>
        <w:rPr>
          <w:rFonts w:ascii="Seaford" w:hAnsi="Seaford"/>
          <w:sz w:val="24"/>
          <w:szCs w:val="24"/>
        </w:rPr>
      </w:pPr>
      <w:r w:rsidRPr="00404623">
        <w:rPr>
          <w:rFonts w:ascii="Seaford" w:hAnsi="Seaford"/>
          <w:sz w:val="24"/>
          <w:szCs w:val="24"/>
        </w:rPr>
        <w:t>Suggested steps include:</w:t>
      </w:r>
    </w:p>
    <w:p w14:paraId="092FDF27" w14:textId="29E907CB" w:rsidR="0052043F" w:rsidRPr="00404623" w:rsidRDefault="00462171" w:rsidP="0052043F">
      <w:pPr>
        <w:pStyle w:val="ListParagraph"/>
        <w:numPr>
          <w:ilvl w:val="0"/>
          <w:numId w:val="44"/>
        </w:numPr>
        <w:rPr>
          <w:rFonts w:ascii="Seaford" w:hAnsi="Seaford"/>
          <w:sz w:val="24"/>
          <w:szCs w:val="24"/>
        </w:rPr>
      </w:pPr>
      <w:r w:rsidRPr="00404623">
        <w:rPr>
          <w:rFonts w:ascii="Seaford" w:hAnsi="Seaford"/>
          <w:sz w:val="24"/>
          <w:szCs w:val="24"/>
        </w:rPr>
        <w:t xml:space="preserve">Assemble a committed </w:t>
      </w:r>
      <w:r w:rsidR="00E5774E" w:rsidRPr="00404623">
        <w:rPr>
          <w:rFonts w:ascii="Seaford" w:hAnsi="Seaford"/>
          <w:sz w:val="24"/>
          <w:szCs w:val="24"/>
        </w:rPr>
        <w:t>research</w:t>
      </w:r>
      <w:r w:rsidRPr="00404623">
        <w:rPr>
          <w:rFonts w:ascii="Seaford" w:hAnsi="Seaford"/>
          <w:sz w:val="24"/>
          <w:szCs w:val="24"/>
        </w:rPr>
        <w:t xml:space="preserve"> team</w:t>
      </w:r>
      <w:r w:rsidR="00E5774E" w:rsidRPr="00404623">
        <w:rPr>
          <w:rFonts w:ascii="Seaford" w:hAnsi="Seaford"/>
          <w:sz w:val="24"/>
          <w:szCs w:val="24"/>
        </w:rPr>
        <w:t>. This could include</w:t>
      </w:r>
      <w:r w:rsidRPr="00404623">
        <w:rPr>
          <w:rFonts w:ascii="Seaford" w:hAnsi="Seaford"/>
          <w:sz w:val="24"/>
          <w:szCs w:val="24"/>
        </w:rPr>
        <w:t xml:space="preserve"> </w:t>
      </w:r>
      <w:r w:rsidR="004F3EDD" w:rsidRPr="00404623">
        <w:rPr>
          <w:rFonts w:ascii="Seaford" w:hAnsi="Seaford"/>
          <w:sz w:val="24"/>
          <w:szCs w:val="24"/>
        </w:rPr>
        <w:t>school staff</w:t>
      </w:r>
      <w:r w:rsidRPr="00404623">
        <w:rPr>
          <w:rFonts w:ascii="Seaford" w:hAnsi="Seaford"/>
          <w:sz w:val="24"/>
          <w:szCs w:val="24"/>
        </w:rPr>
        <w:t xml:space="preserve">, students, </w:t>
      </w:r>
      <w:r w:rsidR="002155A0" w:rsidRPr="00404623">
        <w:rPr>
          <w:rFonts w:ascii="Seaford" w:hAnsi="Seaford"/>
          <w:sz w:val="24"/>
          <w:szCs w:val="24"/>
        </w:rPr>
        <w:t>governors</w:t>
      </w:r>
      <w:r w:rsidR="004F3EDD" w:rsidRPr="00404623">
        <w:rPr>
          <w:rFonts w:ascii="Seaford" w:hAnsi="Seaford"/>
          <w:sz w:val="24"/>
          <w:szCs w:val="24"/>
        </w:rPr>
        <w:t>, parents</w:t>
      </w:r>
      <w:r w:rsidR="00E5774E" w:rsidRPr="00404623">
        <w:rPr>
          <w:rFonts w:ascii="Seaford" w:hAnsi="Seaford"/>
          <w:sz w:val="24"/>
          <w:szCs w:val="24"/>
        </w:rPr>
        <w:t xml:space="preserve"> and</w:t>
      </w:r>
      <w:r w:rsidR="004F3EDD" w:rsidRPr="00404623">
        <w:rPr>
          <w:rFonts w:ascii="Seaford" w:hAnsi="Seaford"/>
          <w:sz w:val="24"/>
          <w:szCs w:val="24"/>
        </w:rPr>
        <w:t xml:space="preserve"> outside professionals</w:t>
      </w:r>
      <w:r w:rsidR="002155A0" w:rsidRPr="00404623">
        <w:rPr>
          <w:rFonts w:ascii="Seaford" w:hAnsi="Seaford"/>
          <w:sz w:val="24"/>
          <w:szCs w:val="24"/>
        </w:rPr>
        <w:t>.</w:t>
      </w:r>
    </w:p>
    <w:p w14:paraId="5215EB9F" w14:textId="2A199A2A" w:rsidR="0045710B" w:rsidRPr="00404623" w:rsidRDefault="0052043F" w:rsidP="0052043F">
      <w:pPr>
        <w:pStyle w:val="ListParagraph"/>
        <w:numPr>
          <w:ilvl w:val="0"/>
          <w:numId w:val="44"/>
        </w:numPr>
        <w:rPr>
          <w:rFonts w:ascii="Seaford" w:hAnsi="Seaford"/>
          <w:sz w:val="24"/>
          <w:szCs w:val="24"/>
        </w:rPr>
      </w:pPr>
      <w:r w:rsidRPr="00404623">
        <w:rPr>
          <w:rFonts w:ascii="Seaford" w:hAnsi="Seaford"/>
          <w:sz w:val="24"/>
          <w:szCs w:val="24"/>
        </w:rPr>
        <w:t xml:space="preserve">Consider using the </w:t>
      </w:r>
      <w:r w:rsidRPr="00840315">
        <w:rPr>
          <w:rFonts w:ascii="Seaford" w:hAnsi="Seaford"/>
          <w:b/>
          <w:bCs/>
          <w:sz w:val="24"/>
          <w:szCs w:val="24"/>
        </w:rPr>
        <w:t xml:space="preserve">audit tool </w:t>
      </w:r>
      <w:r w:rsidR="00C95017" w:rsidRPr="00840315">
        <w:rPr>
          <w:rFonts w:ascii="Seaford" w:hAnsi="Seaford"/>
          <w:b/>
          <w:bCs/>
          <w:sz w:val="24"/>
          <w:szCs w:val="24"/>
        </w:rPr>
        <w:t>in our Learning Partnership Website</w:t>
      </w:r>
      <w:r w:rsidR="00C95017">
        <w:rPr>
          <w:rFonts w:ascii="Seaford" w:hAnsi="Seaford"/>
          <w:sz w:val="24"/>
          <w:szCs w:val="24"/>
        </w:rPr>
        <w:t xml:space="preserve"> </w:t>
      </w:r>
      <w:r w:rsidRPr="00404623">
        <w:rPr>
          <w:rFonts w:ascii="Seaford" w:hAnsi="Seaford"/>
          <w:sz w:val="24"/>
          <w:szCs w:val="24"/>
        </w:rPr>
        <w:t xml:space="preserve">to identify </w:t>
      </w:r>
      <w:r w:rsidR="004A2F2C" w:rsidRPr="004A2F2C">
        <w:rPr>
          <w:rFonts w:ascii="Seaford" w:hAnsi="Seaford"/>
          <w:sz w:val="24"/>
          <w:szCs w:val="24"/>
        </w:rPr>
        <w:t>strengths, priorities for development and next steps for action.</w:t>
      </w:r>
      <w:r w:rsidR="00C95017">
        <w:rPr>
          <w:rFonts w:ascii="Seaford" w:hAnsi="Seaford"/>
          <w:sz w:val="24"/>
          <w:szCs w:val="24"/>
        </w:rPr>
        <w:t xml:space="preserve">. </w:t>
      </w:r>
    </w:p>
    <w:p w14:paraId="6D85B870" w14:textId="76327FF6" w:rsidR="0045710B" w:rsidRPr="00404623" w:rsidRDefault="00462171" w:rsidP="0052043F">
      <w:pPr>
        <w:pStyle w:val="ListParagraph"/>
        <w:numPr>
          <w:ilvl w:val="0"/>
          <w:numId w:val="44"/>
        </w:numPr>
        <w:rPr>
          <w:rFonts w:ascii="Seaford" w:hAnsi="Seaford"/>
          <w:sz w:val="24"/>
          <w:szCs w:val="24"/>
        </w:rPr>
      </w:pPr>
      <w:r w:rsidRPr="00404623">
        <w:rPr>
          <w:rFonts w:ascii="Seaford" w:hAnsi="Seaford"/>
          <w:sz w:val="24"/>
          <w:szCs w:val="24"/>
        </w:rPr>
        <w:t>Conduct a baseline assessment using tools like the PSSM or PSSC</w:t>
      </w:r>
      <w:r w:rsidR="003E57E4" w:rsidRPr="00404623">
        <w:rPr>
          <w:rFonts w:ascii="Seaford" w:hAnsi="Seaford"/>
          <w:sz w:val="24"/>
          <w:szCs w:val="24"/>
        </w:rPr>
        <w:t xml:space="preserve"> (</w:t>
      </w:r>
      <w:r w:rsidR="00FE12FF" w:rsidRPr="00404623">
        <w:rPr>
          <w:rFonts w:ascii="Seaford" w:hAnsi="Seaford"/>
          <w:sz w:val="24"/>
          <w:szCs w:val="24"/>
        </w:rPr>
        <w:t>see below)</w:t>
      </w:r>
      <w:r w:rsidRPr="00404623">
        <w:rPr>
          <w:rFonts w:ascii="Seaford" w:hAnsi="Seaford"/>
          <w:sz w:val="24"/>
          <w:szCs w:val="24"/>
        </w:rPr>
        <w:t>.</w:t>
      </w:r>
    </w:p>
    <w:p w14:paraId="7D378F9C" w14:textId="08B22098" w:rsidR="00323340" w:rsidRPr="00404623" w:rsidRDefault="00462171" w:rsidP="0052043F">
      <w:pPr>
        <w:pStyle w:val="ListParagraph"/>
        <w:numPr>
          <w:ilvl w:val="0"/>
          <w:numId w:val="44"/>
        </w:numPr>
        <w:rPr>
          <w:rFonts w:ascii="Seaford" w:hAnsi="Seaford"/>
          <w:sz w:val="24"/>
          <w:szCs w:val="24"/>
        </w:rPr>
      </w:pPr>
      <w:r w:rsidRPr="00404623">
        <w:rPr>
          <w:rFonts w:ascii="Seaford" w:hAnsi="Seaford"/>
          <w:sz w:val="24"/>
          <w:szCs w:val="24"/>
        </w:rPr>
        <w:t xml:space="preserve"> Design</w:t>
      </w:r>
      <w:r w:rsidR="00FE12FF" w:rsidRPr="00404623">
        <w:rPr>
          <w:rFonts w:ascii="Seaford" w:hAnsi="Seaford"/>
          <w:sz w:val="24"/>
          <w:szCs w:val="24"/>
        </w:rPr>
        <w:t xml:space="preserve"> and implement</w:t>
      </w:r>
      <w:r w:rsidRPr="00404623">
        <w:rPr>
          <w:rFonts w:ascii="Seaford" w:hAnsi="Seaford"/>
          <w:sz w:val="24"/>
          <w:szCs w:val="24"/>
        </w:rPr>
        <w:t xml:space="preserve"> interventions focused on </w:t>
      </w:r>
      <w:r w:rsidR="00627504" w:rsidRPr="00404623">
        <w:rPr>
          <w:rFonts w:ascii="Seaford" w:hAnsi="Seaford"/>
          <w:sz w:val="24"/>
          <w:szCs w:val="24"/>
        </w:rPr>
        <w:t>key areas identified</w:t>
      </w:r>
      <w:r w:rsidR="00323340" w:rsidRPr="00404623">
        <w:rPr>
          <w:rFonts w:ascii="Seaford" w:hAnsi="Seaford"/>
          <w:sz w:val="24"/>
          <w:szCs w:val="24"/>
        </w:rPr>
        <w:t>.</w:t>
      </w:r>
    </w:p>
    <w:p w14:paraId="1D747B5B" w14:textId="30B60016" w:rsidR="00323340" w:rsidRPr="00404623" w:rsidRDefault="00462171" w:rsidP="0052043F">
      <w:pPr>
        <w:pStyle w:val="ListParagraph"/>
        <w:numPr>
          <w:ilvl w:val="0"/>
          <w:numId w:val="44"/>
        </w:numPr>
        <w:rPr>
          <w:rFonts w:ascii="Seaford" w:hAnsi="Seaford"/>
          <w:sz w:val="24"/>
          <w:szCs w:val="24"/>
        </w:rPr>
      </w:pPr>
      <w:r w:rsidRPr="00404623">
        <w:rPr>
          <w:rFonts w:ascii="Seaford" w:hAnsi="Seaford"/>
          <w:sz w:val="24"/>
          <w:szCs w:val="24"/>
        </w:rPr>
        <w:t>Monitor progress by re-administering the chosen instrument.</w:t>
      </w:r>
    </w:p>
    <w:p w14:paraId="074ED0BE" w14:textId="10335C9C" w:rsidR="008800B5" w:rsidRPr="00404623" w:rsidRDefault="00462171" w:rsidP="0052043F">
      <w:pPr>
        <w:pStyle w:val="ListParagraph"/>
        <w:numPr>
          <w:ilvl w:val="0"/>
          <w:numId w:val="44"/>
        </w:numPr>
        <w:rPr>
          <w:rFonts w:ascii="Seaford" w:hAnsi="Seaford"/>
          <w:sz w:val="24"/>
          <w:szCs w:val="24"/>
        </w:rPr>
      </w:pPr>
      <w:r w:rsidRPr="00404623">
        <w:rPr>
          <w:rFonts w:ascii="Seaford" w:hAnsi="Seaford"/>
          <w:sz w:val="24"/>
          <w:szCs w:val="24"/>
        </w:rPr>
        <w:lastRenderedPageBreak/>
        <w:t>Analyse data to identify subgroups needing support and refine strategies accordingly</w:t>
      </w:r>
    </w:p>
    <w:p w14:paraId="2ADA249C" w14:textId="77777777" w:rsidR="000E2EAA" w:rsidRDefault="008F4440" w:rsidP="000E2EAA">
      <w:pPr>
        <w:rPr>
          <w:rFonts w:ascii="Seaford" w:hAnsi="Seaford"/>
          <w:sz w:val="24"/>
          <w:szCs w:val="24"/>
        </w:rPr>
      </w:pPr>
      <w:r w:rsidRPr="00404623">
        <w:rPr>
          <w:rFonts w:ascii="Seaford" w:hAnsi="Seaford"/>
          <w:sz w:val="24"/>
          <w:szCs w:val="24"/>
        </w:rPr>
        <w:t xml:space="preserve">Schools can use the School Belonging </w:t>
      </w:r>
      <w:r w:rsidR="00FA159D" w:rsidRPr="00404623">
        <w:rPr>
          <w:rFonts w:ascii="Seaford" w:hAnsi="Seaford"/>
          <w:sz w:val="24"/>
          <w:szCs w:val="24"/>
        </w:rPr>
        <w:t>Tools (below)</w:t>
      </w:r>
      <w:r w:rsidRPr="00404623">
        <w:rPr>
          <w:rFonts w:ascii="Seaford" w:hAnsi="Seaford"/>
          <w:sz w:val="24"/>
          <w:szCs w:val="24"/>
        </w:rPr>
        <w:t xml:space="preserve"> to assess students’ sense of belonging before and after interventions. This helps identify areas of need and evaluate the impact of strategies.</w:t>
      </w:r>
      <w:r w:rsidR="009113EE">
        <w:rPr>
          <w:rFonts w:ascii="Seaford" w:hAnsi="Seaford"/>
          <w:sz w:val="24"/>
          <w:szCs w:val="24"/>
        </w:rPr>
        <w:t xml:space="preserve"> Below are some examples of belonging scales you could use with students in your school. </w:t>
      </w:r>
    </w:p>
    <w:p w14:paraId="58291637" w14:textId="6C73A051" w:rsidR="00F27432" w:rsidRPr="00404623" w:rsidRDefault="00F27432" w:rsidP="000E2EAA">
      <w:pPr>
        <w:pStyle w:val="Heading2"/>
      </w:pPr>
      <w:bookmarkStart w:id="21" w:name="_Toc239670483"/>
      <w:r w:rsidRPr="00404623">
        <w:t xml:space="preserve">School Belonging </w:t>
      </w:r>
      <w:r w:rsidR="00A3045E" w:rsidRPr="00404623">
        <w:t>Scales</w:t>
      </w:r>
      <w:bookmarkEnd w:id="21"/>
    </w:p>
    <w:p w14:paraId="0BD68780" w14:textId="64D949EE" w:rsidR="00F92E7F" w:rsidRPr="00404623" w:rsidRDefault="00603B43" w:rsidP="0074105B">
      <w:pPr>
        <w:pStyle w:val="Heading4"/>
        <w:numPr>
          <w:ilvl w:val="0"/>
          <w:numId w:val="45"/>
        </w:numPr>
        <w:rPr>
          <w:rFonts w:ascii="Seaford" w:hAnsi="Seaford"/>
        </w:rPr>
      </w:pPr>
      <w:hyperlink r:id="rId39" w:history="1">
        <w:r w:rsidRPr="00404623">
          <w:rPr>
            <w:rStyle w:val="Hyperlink"/>
            <w:rFonts w:ascii="Seaford" w:hAnsi="Seaford"/>
          </w:rPr>
          <w:t>The Psychological Sense of School Membership Scale (PSSM)</w:t>
        </w:r>
      </w:hyperlink>
      <w:r w:rsidR="000A6E58" w:rsidRPr="00404623">
        <w:rPr>
          <w:rFonts w:ascii="Seaford" w:hAnsi="Seaford"/>
        </w:rPr>
        <w:t xml:space="preserve"> </w:t>
      </w:r>
    </w:p>
    <w:p w14:paraId="7AC59BF5" w14:textId="76F983A1" w:rsidR="005F5A4E" w:rsidRPr="00404623" w:rsidRDefault="00A3045E" w:rsidP="008F4440">
      <w:pPr>
        <w:pStyle w:val="Heading4"/>
        <w:rPr>
          <w:rFonts w:ascii="Seaford" w:hAnsi="Seaford" w:cs="Calibri"/>
          <w:b w:val="0"/>
          <w:bCs w:val="0"/>
          <w:i w:val="0"/>
          <w:iCs w:val="0"/>
          <w:color w:val="auto"/>
          <w:sz w:val="24"/>
          <w:szCs w:val="24"/>
        </w:rPr>
      </w:pPr>
      <w:r w:rsidRPr="00404623">
        <w:rPr>
          <w:rFonts w:ascii="Seaford" w:hAnsi="Seaford"/>
          <w:sz w:val="24"/>
          <w:szCs w:val="24"/>
        </w:rPr>
        <w:t xml:space="preserve">   </w:t>
      </w:r>
      <w:r w:rsidRPr="00404623">
        <w:rPr>
          <w:rFonts w:ascii="Seaford" w:hAnsi="Seaford" w:cs="Calibri"/>
          <w:b w:val="0"/>
          <w:bCs w:val="0"/>
          <w:i w:val="0"/>
          <w:iCs w:val="0"/>
          <w:color w:val="auto"/>
          <w:sz w:val="24"/>
          <w:szCs w:val="24"/>
        </w:rPr>
        <w:t>- Developed by Goodenow (1993), revised by Wagle et al. (2018)</w:t>
      </w:r>
      <w:r w:rsidRPr="00404623">
        <w:rPr>
          <w:rFonts w:ascii="Seaford" w:hAnsi="Seaford"/>
        </w:rPr>
        <w:br/>
      </w:r>
      <w:r w:rsidRPr="00404623">
        <w:rPr>
          <w:rFonts w:ascii="Seaford" w:hAnsi="Seaford" w:cs="Calibri"/>
          <w:b w:val="0"/>
          <w:bCs w:val="0"/>
          <w:i w:val="0"/>
          <w:iCs w:val="0"/>
          <w:color w:val="auto"/>
          <w:sz w:val="24"/>
          <w:szCs w:val="24"/>
        </w:rPr>
        <w:t xml:space="preserve">   - 9-item scale using a 4-point Likert scale</w:t>
      </w:r>
      <w:r w:rsidRPr="00404623">
        <w:rPr>
          <w:rFonts w:ascii="Seaford" w:hAnsi="Seaford"/>
        </w:rPr>
        <w:br/>
      </w:r>
      <w:r w:rsidRPr="00404623">
        <w:rPr>
          <w:rFonts w:ascii="Seaford" w:hAnsi="Seaford" w:cs="Calibri"/>
          <w:b w:val="0"/>
          <w:bCs w:val="0"/>
          <w:i w:val="0"/>
          <w:iCs w:val="0"/>
          <w:color w:val="auto"/>
          <w:sz w:val="24"/>
          <w:szCs w:val="24"/>
        </w:rPr>
        <w:t xml:space="preserve">   - Measures students’ sense of being valued and accepted</w:t>
      </w:r>
      <w:r w:rsidRPr="00404623">
        <w:rPr>
          <w:rFonts w:ascii="Seaford" w:hAnsi="Seaford"/>
        </w:rPr>
        <w:br/>
      </w:r>
      <w:r w:rsidRPr="00404623">
        <w:rPr>
          <w:rFonts w:ascii="Seaford" w:hAnsi="Seaford" w:cs="Calibri"/>
          <w:b w:val="0"/>
          <w:bCs w:val="0"/>
          <w:i w:val="0"/>
          <w:iCs w:val="0"/>
          <w:color w:val="auto"/>
          <w:sz w:val="24"/>
          <w:szCs w:val="24"/>
        </w:rPr>
        <w:t xml:space="preserve">   - Validated across diverse populations</w:t>
      </w:r>
    </w:p>
    <w:p w14:paraId="14D3D67A" w14:textId="27BFAC0E" w:rsidR="00F8788B" w:rsidRPr="00404623" w:rsidRDefault="00F8788B" w:rsidP="00F8788B">
      <w:pPr>
        <w:pStyle w:val="Heading4"/>
        <w:rPr>
          <w:rFonts w:ascii="Seaford" w:hAnsi="Seaford" w:cs="Calibri"/>
          <w:b w:val="0"/>
          <w:bCs w:val="0"/>
          <w:color w:val="auto"/>
          <w:sz w:val="24"/>
          <w:szCs w:val="24"/>
        </w:rPr>
      </w:pPr>
      <w:r w:rsidRPr="00404623">
        <w:rPr>
          <w:rFonts w:ascii="Seaford" w:hAnsi="Seaford" w:cs="Calibri"/>
          <w:b w:val="0"/>
          <w:bCs w:val="0"/>
          <w:i w:val="0"/>
          <w:iCs w:val="0"/>
          <w:color w:val="auto"/>
          <w:sz w:val="24"/>
          <w:szCs w:val="24"/>
        </w:rPr>
        <w:t xml:space="preserve"> </w:t>
      </w:r>
      <w:r w:rsidRPr="00404623">
        <w:rPr>
          <w:rFonts w:ascii="Seaford" w:hAnsi="Seaford" w:cs="Calibri"/>
          <w:b w:val="0"/>
          <w:bCs w:val="0"/>
          <w:color w:val="auto"/>
          <w:sz w:val="24"/>
          <w:szCs w:val="24"/>
        </w:rPr>
        <w:t>Quick and easy to use on the MS form provided (link above)</w:t>
      </w:r>
    </w:p>
    <w:p w14:paraId="1694A48C" w14:textId="7131A439" w:rsidR="00F90F97" w:rsidRPr="00404623" w:rsidRDefault="00A3045E" w:rsidP="008F4440">
      <w:pPr>
        <w:pStyle w:val="Heading4"/>
        <w:rPr>
          <w:rFonts w:ascii="Seaford" w:eastAsiaTheme="minorEastAsia" w:hAnsi="Seaford" w:cstheme="minorBidi"/>
          <w:b w:val="0"/>
          <w:bCs w:val="0"/>
          <w:i w:val="0"/>
          <w:iCs w:val="0"/>
          <w:color w:val="auto"/>
        </w:rPr>
      </w:pPr>
      <w:r w:rsidRPr="00404623">
        <w:rPr>
          <w:rFonts w:ascii="Seaford" w:hAnsi="Seaford"/>
          <w:sz w:val="24"/>
          <w:szCs w:val="24"/>
        </w:rPr>
        <w:t xml:space="preserve">2. </w:t>
      </w:r>
      <w:hyperlink r:id="rId40" w:history="1">
        <w:r w:rsidR="009764C5" w:rsidRPr="00404623">
          <w:rPr>
            <w:rStyle w:val="Hyperlink"/>
            <w:rFonts w:ascii="Seaford" w:hAnsi="Seaford"/>
            <w:sz w:val="24"/>
            <w:szCs w:val="24"/>
          </w:rPr>
          <w:t>Perception-of-School-Social-Bonding-Instrument.pdf</w:t>
        </w:r>
      </w:hyperlink>
    </w:p>
    <w:p w14:paraId="64C384CF" w14:textId="1486E890" w:rsidR="0039519E" w:rsidRPr="00404623" w:rsidRDefault="00A3045E" w:rsidP="008F4440">
      <w:pPr>
        <w:pStyle w:val="Heading4"/>
        <w:rPr>
          <w:rFonts w:ascii="Seaford" w:hAnsi="Seaford" w:cs="Calibri"/>
          <w:b w:val="0"/>
          <w:bCs w:val="0"/>
          <w:i w:val="0"/>
          <w:iCs w:val="0"/>
          <w:color w:val="auto"/>
          <w:sz w:val="24"/>
          <w:szCs w:val="24"/>
        </w:rPr>
      </w:pPr>
      <w:r w:rsidRPr="00404623">
        <w:rPr>
          <w:rFonts w:ascii="Seaford" w:hAnsi="Seaford" w:cs="Calibri"/>
          <w:b w:val="0"/>
          <w:bCs w:val="0"/>
          <w:i w:val="0"/>
          <w:iCs w:val="0"/>
          <w:color w:val="auto"/>
          <w:sz w:val="24"/>
          <w:szCs w:val="24"/>
        </w:rPr>
        <w:t>Developed by Gentle-Genitty et al. (2024)</w:t>
      </w:r>
    </w:p>
    <w:p w14:paraId="04643E0E" w14:textId="3D7A366E" w:rsidR="00CE1FDF" w:rsidRPr="00404623" w:rsidRDefault="00A3045E" w:rsidP="008F4440">
      <w:pPr>
        <w:pStyle w:val="Heading4"/>
        <w:rPr>
          <w:rFonts w:ascii="Seaford" w:hAnsi="Seaford" w:cs="Calibri"/>
          <w:b w:val="0"/>
          <w:bCs w:val="0"/>
          <w:i w:val="0"/>
          <w:iCs w:val="0"/>
          <w:color w:val="auto"/>
          <w:sz w:val="24"/>
          <w:szCs w:val="24"/>
        </w:rPr>
      </w:pPr>
      <w:r w:rsidRPr="00404623">
        <w:rPr>
          <w:rFonts w:ascii="Seaford" w:hAnsi="Seaford" w:cs="Calibri"/>
          <w:b w:val="0"/>
          <w:bCs w:val="0"/>
          <w:i w:val="0"/>
          <w:iCs w:val="0"/>
          <w:color w:val="auto"/>
          <w:sz w:val="24"/>
          <w:szCs w:val="24"/>
        </w:rPr>
        <w:t xml:space="preserve">   - 10-item self-report measure based on Hirschi’s social bonding theory</w:t>
      </w:r>
      <w:r w:rsidRPr="00404623">
        <w:rPr>
          <w:rFonts w:ascii="Seaford" w:hAnsi="Seaford"/>
        </w:rPr>
        <w:br/>
      </w:r>
      <w:r w:rsidRPr="00404623">
        <w:rPr>
          <w:rFonts w:ascii="Seaford" w:hAnsi="Seaford" w:cs="Calibri"/>
          <w:b w:val="0"/>
          <w:bCs w:val="0"/>
          <w:i w:val="0"/>
          <w:iCs w:val="0"/>
          <w:color w:val="auto"/>
          <w:sz w:val="24"/>
          <w:szCs w:val="24"/>
        </w:rPr>
        <w:t xml:space="preserve">   - Assesses attachment, involvement, and belief</w:t>
      </w:r>
      <w:r w:rsidR="0098671E" w:rsidRPr="00404623">
        <w:rPr>
          <w:rFonts w:ascii="Seaford" w:hAnsi="Seaford" w:cs="Calibri"/>
          <w:b w:val="0"/>
          <w:bCs w:val="0"/>
          <w:i w:val="0"/>
          <w:iCs w:val="0"/>
          <w:color w:val="auto"/>
          <w:sz w:val="24"/>
          <w:szCs w:val="24"/>
        </w:rPr>
        <w:t xml:space="preserve"> with a </w:t>
      </w:r>
      <w:r w:rsidR="0044095B" w:rsidRPr="00404623">
        <w:rPr>
          <w:rFonts w:ascii="Seaford" w:hAnsi="Seaford" w:cs="Calibri"/>
          <w:b w:val="0"/>
          <w:bCs w:val="0"/>
          <w:i w:val="0"/>
          <w:iCs w:val="0"/>
          <w:color w:val="auto"/>
          <w:sz w:val="24"/>
          <w:szCs w:val="24"/>
        </w:rPr>
        <w:t xml:space="preserve">quick scoring system to plot school effectiveness for each area. </w:t>
      </w:r>
      <w:r w:rsidRPr="00404623">
        <w:rPr>
          <w:rFonts w:ascii="Seaford" w:hAnsi="Seaford"/>
        </w:rPr>
        <w:br/>
      </w:r>
      <w:r w:rsidRPr="00404623">
        <w:rPr>
          <w:rFonts w:ascii="Seaford" w:hAnsi="Seaford" w:cs="Calibri"/>
          <w:b w:val="0"/>
          <w:bCs w:val="0"/>
          <w:i w:val="0"/>
          <w:iCs w:val="0"/>
          <w:color w:val="auto"/>
          <w:sz w:val="24"/>
          <w:szCs w:val="24"/>
        </w:rPr>
        <w:t xml:space="preserve">   - Uses a 5-point Likert scale</w:t>
      </w:r>
      <w:r w:rsidRPr="00404623">
        <w:rPr>
          <w:rFonts w:ascii="Seaford" w:hAnsi="Seaford"/>
        </w:rPr>
        <w:br/>
      </w:r>
      <w:r w:rsidRPr="00404623">
        <w:rPr>
          <w:rFonts w:ascii="Seaford" w:hAnsi="Seaford" w:cs="Calibri"/>
          <w:b w:val="0"/>
          <w:bCs w:val="0"/>
          <w:i w:val="0"/>
          <w:iCs w:val="0"/>
          <w:color w:val="auto"/>
          <w:sz w:val="24"/>
          <w:szCs w:val="24"/>
        </w:rPr>
        <w:t xml:space="preserve">   - Valid for universal screening and identifying students at risk of disengagemen</w:t>
      </w:r>
      <w:r w:rsidR="0098671E" w:rsidRPr="00404623">
        <w:rPr>
          <w:rFonts w:ascii="Seaford" w:hAnsi="Seaford" w:cs="Calibri"/>
          <w:b w:val="0"/>
          <w:bCs w:val="0"/>
          <w:i w:val="0"/>
          <w:iCs w:val="0"/>
          <w:color w:val="auto"/>
          <w:sz w:val="24"/>
          <w:szCs w:val="24"/>
        </w:rPr>
        <w:t>t</w:t>
      </w:r>
      <w:r w:rsidRPr="00404623">
        <w:rPr>
          <w:rFonts w:ascii="Seaford" w:hAnsi="Seaford"/>
        </w:rPr>
        <w:br/>
      </w:r>
      <w:r w:rsidRPr="00404623">
        <w:rPr>
          <w:rFonts w:ascii="Seaford" w:hAnsi="Seaford"/>
        </w:rPr>
        <w:br/>
      </w:r>
      <w:bookmarkStart w:id="22" w:name="_Toc205888903"/>
      <w:r w:rsidR="005F5A4E" w:rsidRPr="00404623">
        <w:rPr>
          <w:rFonts w:ascii="Seaford" w:hAnsi="Seaford"/>
          <w:sz w:val="24"/>
          <w:szCs w:val="24"/>
        </w:rPr>
        <w:t>3</w:t>
      </w:r>
      <w:r w:rsidR="003C2B04" w:rsidRPr="00404623">
        <w:rPr>
          <w:rFonts w:ascii="Seaford" w:hAnsi="Seaford"/>
          <w:sz w:val="24"/>
          <w:szCs w:val="24"/>
        </w:rPr>
        <w:t xml:space="preserve">. </w:t>
      </w:r>
      <w:hyperlink r:id="rId41" w:history="1">
        <w:r w:rsidR="003C2B04" w:rsidRPr="00404623">
          <w:rPr>
            <w:rStyle w:val="Hyperlink"/>
            <w:rFonts w:ascii="Seaford" w:hAnsi="Seaford"/>
            <w:sz w:val="24"/>
            <w:szCs w:val="24"/>
          </w:rPr>
          <w:t>School Belonging Scale</w:t>
        </w:r>
        <w:bookmarkEnd w:id="22"/>
      </w:hyperlink>
    </w:p>
    <w:p w14:paraId="21FF8097" w14:textId="1E9769B7" w:rsidR="003C2B04" w:rsidRPr="00404623" w:rsidRDefault="003C2B04" w:rsidP="003C2B04">
      <w:pPr>
        <w:rPr>
          <w:rFonts w:ascii="Seaford" w:hAnsi="Seaford" w:cstheme="majorHAnsi"/>
          <w:sz w:val="24"/>
          <w:szCs w:val="24"/>
        </w:rPr>
      </w:pPr>
      <w:r w:rsidRPr="00404623">
        <w:rPr>
          <w:rFonts w:ascii="Seaford" w:hAnsi="Seaford" w:cstheme="majorHAnsi"/>
          <w:sz w:val="24"/>
          <w:szCs w:val="24"/>
        </w:rPr>
        <w:t>Based on Allen et al. (2018), this tool helps schools identify which of the six key relational and individual factors are most relevant to their students:</w:t>
      </w:r>
    </w:p>
    <w:p w14:paraId="6BBA56A1" w14:textId="335A045D" w:rsidR="003C2B04" w:rsidRPr="00404623" w:rsidRDefault="003C2B04" w:rsidP="003C2B04">
      <w:pPr>
        <w:rPr>
          <w:rFonts w:ascii="Seaford" w:hAnsi="Seaford" w:cstheme="majorHAnsi"/>
          <w:i/>
          <w:iCs/>
          <w:sz w:val="24"/>
          <w:szCs w:val="24"/>
        </w:rPr>
      </w:pPr>
      <w:r w:rsidRPr="00404623">
        <w:rPr>
          <w:rFonts w:ascii="Seaford" w:hAnsi="Seaford" w:cstheme="majorHAnsi"/>
          <w:sz w:val="24"/>
          <w:szCs w:val="24"/>
        </w:rPr>
        <w:t>Students rate 60 statements across six domains</w:t>
      </w:r>
      <w:r w:rsidR="009331C5" w:rsidRPr="00404623">
        <w:rPr>
          <w:rFonts w:ascii="Seaford" w:hAnsi="Seaford" w:cstheme="majorHAnsi"/>
          <w:sz w:val="24"/>
          <w:szCs w:val="24"/>
        </w:rPr>
        <w:t>:</w:t>
      </w:r>
      <w:r w:rsidRPr="00404623">
        <w:rPr>
          <w:rFonts w:ascii="Seaford" w:hAnsi="Seaford" w:cstheme="majorHAnsi"/>
          <w:sz w:val="24"/>
          <w:szCs w:val="24"/>
        </w:rPr>
        <w:t xml:space="preserve"> </w:t>
      </w:r>
      <w:r w:rsidR="009331C5" w:rsidRPr="00404623">
        <w:rPr>
          <w:rFonts w:ascii="Seaford" w:hAnsi="Seaford" w:cstheme="majorHAnsi"/>
          <w:sz w:val="24"/>
          <w:szCs w:val="24"/>
        </w:rPr>
        <w:t xml:space="preserve">teacher support, parent support, peer support, self-connection, learning connection, and help-seeking. Each domain has 10 items rated on a 3-point scale </w:t>
      </w:r>
      <w:r w:rsidRPr="00404623">
        <w:rPr>
          <w:rFonts w:ascii="Seaford" w:hAnsi="Seaford" w:cstheme="majorHAnsi"/>
          <w:sz w:val="24"/>
          <w:szCs w:val="24"/>
        </w:rPr>
        <w:t>using a 3-point scale:</w:t>
      </w:r>
      <w:r w:rsidR="00A655BF" w:rsidRPr="00404623">
        <w:rPr>
          <w:rFonts w:ascii="Seaford" w:hAnsi="Seaford" w:cstheme="majorHAnsi"/>
          <w:sz w:val="24"/>
          <w:szCs w:val="24"/>
        </w:rPr>
        <w:t xml:space="preserve"> </w:t>
      </w:r>
      <w:r w:rsidRPr="00404623">
        <w:rPr>
          <w:rFonts w:ascii="Seaford" w:hAnsi="Seaford" w:cstheme="majorHAnsi"/>
          <w:sz w:val="24"/>
          <w:szCs w:val="24"/>
        </w:rPr>
        <w:t>Not at all (0), Somewhat (1), Very much (2)</w:t>
      </w:r>
      <w:r w:rsidR="00A655BF" w:rsidRPr="00404623">
        <w:rPr>
          <w:rFonts w:ascii="Seaford" w:hAnsi="Seaford" w:cstheme="majorHAnsi"/>
          <w:sz w:val="24"/>
          <w:szCs w:val="24"/>
        </w:rPr>
        <w:t xml:space="preserve">. </w:t>
      </w:r>
      <w:r w:rsidRPr="00404623">
        <w:rPr>
          <w:rFonts w:ascii="Seaford" w:hAnsi="Seaford" w:cstheme="majorHAnsi"/>
          <w:sz w:val="24"/>
          <w:szCs w:val="24"/>
        </w:rPr>
        <w:t>Each domain has 10 items, with scores ranging from 0 to 20</w:t>
      </w:r>
      <w:r w:rsidR="00A655BF" w:rsidRPr="00404623">
        <w:rPr>
          <w:rFonts w:ascii="Seaford" w:hAnsi="Seaford" w:cstheme="majorHAnsi"/>
          <w:sz w:val="24"/>
          <w:szCs w:val="24"/>
        </w:rPr>
        <w:t>. It c</w:t>
      </w:r>
      <w:r w:rsidRPr="00404623">
        <w:rPr>
          <w:rFonts w:ascii="Seaford" w:hAnsi="Seaford" w:cstheme="majorHAnsi"/>
          <w:sz w:val="24"/>
          <w:szCs w:val="24"/>
        </w:rPr>
        <w:t>an be used pre- and post-intervention to measure change</w:t>
      </w:r>
      <w:r w:rsidR="00A655BF" w:rsidRPr="00404623">
        <w:rPr>
          <w:rFonts w:ascii="Seaford" w:hAnsi="Seaford" w:cstheme="majorHAnsi"/>
          <w:sz w:val="24"/>
          <w:szCs w:val="24"/>
        </w:rPr>
        <w:t xml:space="preserve"> and h</w:t>
      </w:r>
      <w:r w:rsidRPr="00404623">
        <w:rPr>
          <w:rFonts w:ascii="Seaford" w:hAnsi="Seaford" w:cstheme="majorHAnsi"/>
          <w:sz w:val="24"/>
          <w:szCs w:val="24"/>
        </w:rPr>
        <w:t>elps identify strengths and areas for targeted support</w:t>
      </w:r>
      <w:r w:rsidR="005D59BE" w:rsidRPr="00404623">
        <w:rPr>
          <w:rFonts w:ascii="Seaford" w:hAnsi="Seaford" w:cstheme="majorHAnsi"/>
          <w:sz w:val="24"/>
          <w:szCs w:val="24"/>
        </w:rPr>
        <w:t xml:space="preserve">. </w:t>
      </w:r>
      <w:r w:rsidR="00C47EE6" w:rsidRPr="00404623">
        <w:rPr>
          <w:rFonts w:ascii="Seaford" w:hAnsi="Seaford" w:cstheme="majorHAnsi"/>
          <w:i/>
          <w:iCs/>
          <w:sz w:val="24"/>
          <w:szCs w:val="24"/>
        </w:rPr>
        <w:t xml:space="preserve">This scale </w:t>
      </w:r>
      <w:r w:rsidR="00DF702A" w:rsidRPr="00404623">
        <w:rPr>
          <w:rFonts w:ascii="Seaford" w:hAnsi="Seaford" w:cstheme="majorHAnsi"/>
          <w:i/>
          <w:iCs/>
          <w:sz w:val="24"/>
          <w:szCs w:val="24"/>
        </w:rPr>
        <w:t xml:space="preserve">is a more thorough assessment but will take a bit longer for students to </w:t>
      </w:r>
      <w:r w:rsidR="00E81193" w:rsidRPr="00404623">
        <w:rPr>
          <w:rFonts w:ascii="Seaford" w:hAnsi="Seaford" w:cstheme="majorHAnsi"/>
          <w:i/>
          <w:iCs/>
          <w:sz w:val="24"/>
          <w:szCs w:val="24"/>
        </w:rPr>
        <w:t>complete but</w:t>
      </w:r>
      <w:r w:rsidR="00DF702A" w:rsidRPr="00404623">
        <w:rPr>
          <w:rFonts w:ascii="Seaford" w:hAnsi="Seaford" w:cstheme="majorHAnsi"/>
          <w:i/>
          <w:iCs/>
          <w:sz w:val="24"/>
          <w:szCs w:val="24"/>
        </w:rPr>
        <w:t xml:space="preserve"> </w:t>
      </w:r>
      <w:r w:rsidR="00B97A85" w:rsidRPr="00404623">
        <w:rPr>
          <w:rFonts w:ascii="Seaford" w:hAnsi="Seaford" w:cstheme="majorHAnsi"/>
          <w:i/>
          <w:iCs/>
          <w:sz w:val="24"/>
          <w:szCs w:val="24"/>
        </w:rPr>
        <w:t>allows us</w:t>
      </w:r>
      <w:r w:rsidR="00DF702A" w:rsidRPr="00404623">
        <w:rPr>
          <w:rFonts w:ascii="Seaford" w:hAnsi="Seaford" w:cstheme="majorHAnsi"/>
          <w:i/>
          <w:iCs/>
          <w:sz w:val="24"/>
          <w:szCs w:val="24"/>
        </w:rPr>
        <w:t xml:space="preserve"> to </w:t>
      </w:r>
      <w:proofErr w:type="gramStart"/>
      <w:r w:rsidR="00DF702A" w:rsidRPr="00404623">
        <w:rPr>
          <w:rFonts w:ascii="Seaford" w:hAnsi="Seaford" w:cstheme="majorHAnsi"/>
          <w:i/>
          <w:iCs/>
          <w:sz w:val="24"/>
          <w:szCs w:val="24"/>
        </w:rPr>
        <w:t>compare between</w:t>
      </w:r>
      <w:proofErr w:type="gramEnd"/>
      <w:r w:rsidR="00DF702A" w:rsidRPr="00404623">
        <w:rPr>
          <w:rFonts w:ascii="Seaford" w:hAnsi="Seaford" w:cstheme="majorHAnsi"/>
          <w:i/>
          <w:iCs/>
          <w:sz w:val="24"/>
          <w:szCs w:val="24"/>
        </w:rPr>
        <w:t xml:space="preserve"> the 6 </w:t>
      </w:r>
      <w:r w:rsidR="00B97A85" w:rsidRPr="00404623">
        <w:rPr>
          <w:rFonts w:ascii="Seaford" w:hAnsi="Seaford" w:cstheme="majorHAnsi"/>
          <w:i/>
          <w:iCs/>
          <w:sz w:val="24"/>
          <w:szCs w:val="24"/>
        </w:rPr>
        <w:t>domains,</w:t>
      </w:r>
      <w:r w:rsidR="009E79A3" w:rsidRPr="00404623">
        <w:rPr>
          <w:rFonts w:ascii="Seaford" w:hAnsi="Seaford" w:cstheme="majorHAnsi"/>
          <w:i/>
          <w:iCs/>
          <w:sz w:val="24"/>
          <w:szCs w:val="24"/>
        </w:rPr>
        <w:t xml:space="preserve"> which could be helpful. </w:t>
      </w:r>
    </w:p>
    <w:p w14:paraId="6D025956" w14:textId="77777777" w:rsidR="00697B59" w:rsidRPr="00404623" w:rsidRDefault="00A3045E" w:rsidP="00697B59">
      <w:pPr>
        <w:rPr>
          <w:rFonts w:ascii="Seaford" w:hAnsi="Seaford"/>
          <w:sz w:val="24"/>
          <w:szCs w:val="24"/>
        </w:rPr>
      </w:pPr>
      <w:r w:rsidRPr="00404623">
        <w:rPr>
          <w:rFonts w:ascii="Seaford" w:hAnsi="Seaford"/>
          <w:sz w:val="24"/>
          <w:szCs w:val="24"/>
        </w:rPr>
        <w:lastRenderedPageBreak/>
        <w:t>These tools provide practical ways to assess and monitor students’ sense of belonging and guide targeted interventions to improve school climate and student engagement.</w:t>
      </w:r>
      <w:r w:rsidRPr="00404623">
        <w:rPr>
          <w:rFonts w:ascii="Seaford" w:hAnsi="Seaford"/>
          <w:sz w:val="24"/>
          <w:szCs w:val="24"/>
        </w:rPr>
        <w:br/>
      </w:r>
    </w:p>
    <w:p w14:paraId="37D14160" w14:textId="5090AB96" w:rsidR="00713C44" w:rsidRPr="00404623" w:rsidRDefault="00871417" w:rsidP="00751A4E">
      <w:pPr>
        <w:pStyle w:val="Heading1"/>
        <w:numPr>
          <w:ilvl w:val="0"/>
          <w:numId w:val="24"/>
        </w:numPr>
        <w:rPr>
          <w:rFonts w:ascii="Seaford" w:hAnsi="Seaford"/>
          <w:sz w:val="24"/>
          <w:szCs w:val="24"/>
        </w:rPr>
      </w:pPr>
      <w:bookmarkStart w:id="23" w:name="_Toc239670484"/>
      <w:r w:rsidRPr="00404623">
        <w:rPr>
          <w:rFonts w:ascii="Seaford" w:hAnsi="Seaford"/>
          <w:sz w:val="24"/>
          <w:szCs w:val="24"/>
        </w:rPr>
        <w:t xml:space="preserve">More </w:t>
      </w:r>
      <w:r w:rsidR="00384592" w:rsidRPr="00404623">
        <w:rPr>
          <w:rFonts w:ascii="Seaford" w:hAnsi="Seaford"/>
          <w:sz w:val="24"/>
          <w:szCs w:val="24"/>
        </w:rPr>
        <w:t>Practical Tools</w:t>
      </w:r>
      <w:r w:rsidR="008F4440" w:rsidRPr="00404623">
        <w:rPr>
          <w:rFonts w:ascii="Seaford" w:hAnsi="Seaford"/>
          <w:noProof/>
          <w:sz w:val="24"/>
          <w:szCs w:val="24"/>
        </w:rPr>
        <w:t xml:space="preserve"> </w:t>
      </w:r>
      <w:r w:rsidR="009331C5" w:rsidRPr="00404623">
        <w:rPr>
          <w:rFonts w:ascii="Seaford" w:hAnsi="Seaford"/>
          <w:noProof/>
          <w:sz w:val="24"/>
          <w:szCs w:val="24"/>
        </w:rPr>
        <w:t>to support belonging</w:t>
      </w:r>
      <w:bookmarkEnd w:id="23"/>
    </w:p>
    <w:p w14:paraId="4CD81656" w14:textId="77777777" w:rsidR="00F60C3A" w:rsidRPr="00404623" w:rsidRDefault="00F60C3A" w:rsidP="00F60C3A">
      <w:pPr>
        <w:pStyle w:val="Heading2"/>
        <w:rPr>
          <w:rFonts w:ascii="Seaford" w:hAnsi="Seaford"/>
          <w:sz w:val="24"/>
          <w:szCs w:val="24"/>
          <w:lang w:val="en-GB"/>
        </w:rPr>
      </w:pPr>
      <w:bookmarkStart w:id="24" w:name="_Toc239670485"/>
      <w:r w:rsidRPr="00404623">
        <w:rPr>
          <w:rFonts w:ascii="Seaford" w:hAnsi="Seaford"/>
          <w:sz w:val="24"/>
          <w:szCs w:val="24"/>
          <w:lang w:val="en-GB"/>
        </w:rPr>
        <w:t>Staff Reflection Tools to Promote Belonging and Inclusion</w:t>
      </w:r>
      <w:bookmarkEnd w:id="24"/>
    </w:p>
    <w:p w14:paraId="18DDC4AD" w14:textId="77777777" w:rsidR="00F60C3A" w:rsidRPr="00404623" w:rsidRDefault="00F60C3A" w:rsidP="00F60C3A">
      <w:pPr>
        <w:rPr>
          <w:rFonts w:ascii="Seaford" w:hAnsi="Seaford"/>
          <w:sz w:val="24"/>
          <w:szCs w:val="24"/>
          <w:lang w:val="en-GB"/>
        </w:rPr>
      </w:pPr>
      <w:r w:rsidRPr="00404623">
        <w:rPr>
          <w:rFonts w:ascii="Seaford" w:hAnsi="Seaford"/>
          <w:sz w:val="24"/>
          <w:szCs w:val="24"/>
          <w:lang w:val="en-GB"/>
        </w:rPr>
        <w:t>These tools are designed to support staff reflection, problem-solving, and strategic planning in schools, with EP facilitation where appropriate:</w:t>
      </w:r>
    </w:p>
    <w:p w14:paraId="7FE1C3B4" w14:textId="748D3850" w:rsidR="00A46256" w:rsidRPr="00404623" w:rsidRDefault="00A46256" w:rsidP="00A46256">
      <w:pPr>
        <w:pStyle w:val="ListParagraph"/>
        <w:spacing w:before="100" w:beforeAutospacing="1" w:after="100" w:afterAutospacing="1" w:line="240" w:lineRule="auto"/>
        <w:rPr>
          <w:rFonts w:ascii="Seaford" w:eastAsia="Times New Roman" w:hAnsi="Seaford" w:cs="Times New Roman"/>
          <w:sz w:val="24"/>
          <w:szCs w:val="24"/>
          <w:lang w:val="en-GB" w:eastAsia="en-GB"/>
        </w:rPr>
      </w:pPr>
      <w:r w:rsidRPr="00404623">
        <w:rPr>
          <w:rFonts w:ascii="Seaford" w:hAnsi="Seaford"/>
          <w:noProof/>
          <w:sz w:val="24"/>
          <w:szCs w:val="24"/>
          <w:lang w:val="en-GB" w:eastAsia="en-GB"/>
        </w:rPr>
        <w:drawing>
          <wp:inline distT="0" distB="0" distL="0" distR="0" wp14:anchorId="39049556" wp14:editId="128A79CD">
            <wp:extent cx="3835400" cy="5753102"/>
            <wp:effectExtent l="0" t="0" r="0" b="0"/>
            <wp:docPr id="777346722" name="Picture 3" descr="A screen 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46722" name="Picture 3" descr="A screen shot of a phone&#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52081" cy="5778123"/>
                    </a:xfrm>
                    <a:prstGeom prst="rect">
                      <a:avLst/>
                    </a:prstGeom>
                    <a:noFill/>
                    <a:ln>
                      <a:noFill/>
                    </a:ln>
                  </pic:spPr>
                </pic:pic>
              </a:graphicData>
            </a:graphic>
          </wp:inline>
        </w:drawing>
      </w:r>
    </w:p>
    <w:p w14:paraId="699824D9" w14:textId="4A754DFE" w:rsidR="00FD1699" w:rsidRPr="00404623" w:rsidRDefault="00AC1021" w:rsidP="00FD1699">
      <w:pPr>
        <w:pStyle w:val="Heading3"/>
        <w:rPr>
          <w:rFonts w:ascii="Seaford" w:hAnsi="Seaford"/>
          <w:sz w:val="24"/>
          <w:szCs w:val="24"/>
          <w:lang w:val="en-GB"/>
        </w:rPr>
      </w:pPr>
      <w:bookmarkStart w:id="25" w:name="_Toc239670486"/>
      <w:r w:rsidRPr="00404623">
        <w:rPr>
          <w:rFonts w:ascii="Seaford" w:hAnsi="Seaford"/>
          <w:sz w:val="24"/>
          <w:szCs w:val="24"/>
          <w:lang w:val="en-GB"/>
        </w:rPr>
        <w:lastRenderedPageBreak/>
        <w:t>S</w:t>
      </w:r>
      <w:r w:rsidR="00FD1699" w:rsidRPr="00404623">
        <w:rPr>
          <w:rFonts w:ascii="Seaford" w:hAnsi="Seaford"/>
          <w:sz w:val="24"/>
          <w:szCs w:val="24"/>
          <w:lang w:val="en-GB"/>
        </w:rPr>
        <w:t>olution Circles</w:t>
      </w:r>
      <w:bookmarkEnd w:id="25"/>
    </w:p>
    <w:p w14:paraId="0CCA8B67" w14:textId="7E25A632" w:rsidR="00FD1699" w:rsidRPr="00404623" w:rsidRDefault="00D324FC" w:rsidP="00977369">
      <w:pPr>
        <w:rPr>
          <w:rFonts w:ascii="Seaford" w:hAnsi="Seaford"/>
          <w:sz w:val="24"/>
          <w:szCs w:val="24"/>
          <w:lang w:val="en-GB"/>
        </w:rPr>
      </w:pPr>
      <w:r w:rsidRPr="00404623">
        <w:rPr>
          <w:rFonts w:ascii="Seaford" w:hAnsi="Seaford"/>
          <w:noProof/>
        </w:rPr>
        <w:drawing>
          <wp:anchor distT="0" distB="0" distL="114300" distR="114300" simplePos="0" relativeHeight="251657216" behindDoc="1" locked="0" layoutInCell="1" allowOverlap="1" wp14:anchorId="0217E039" wp14:editId="54080AB1">
            <wp:simplePos x="0" y="0"/>
            <wp:positionH relativeFrom="margin">
              <wp:align>right</wp:align>
            </wp:positionH>
            <wp:positionV relativeFrom="paragraph">
              <wp:posOffset>82550</wp:posOffset>
            </wp:positionV>
            <wp:extent cx="2946400" cy="3279775"/>
            <wp:effectExtent l="19050" t="19050" r="25400" b="15875"/>
            <wp:wrapTight wrapText="bothSides">
              <wp:wrapPolygon edited="0">
                <wp:start x="-140" y="-125"/>
                <wp:lineTo x="-140" y="21579"/>
                <wp:lineTo x="21647" y="21579"/>
                <wp:lineTo x="21647" y="-125"/>
                <wp:lineTo x="-140" y="-125"/>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rotWithShape="1">
                    <a:blip r:embed="rId43">
                      <a:extLst>
                        <a:ext uri="{28A0092B-C50C-407E-A947-70E740481C1C}">
                          <a14:useLocalDpi xmlns:a14="http://schemas.microsoft.com/office/drawing/2010/main" val="0"/>
                        </a:ext>
                      </a:extLst>
                    </a:blip>
                    <a:srcRect l="3375" t="12444" r="2469" b="8961"/>
                    <a:stretch>
                      <a:fillRect/>
                    </a:stretch>
                  </pic:blipFill>
                  <pic:spPr bwMode="auto">
                    <a:xfrm>
                      <a:off x="0" y="0"/>
                      <a:ext cx="2946400" cy="3279775"/>
                    </a:xfrm>
                    <a:prstGeom prst="rect">
                      <a:avLst/>
                    </a:prstGeom>
                    <a:noFill/>
                    <a:ln w="15875" cap="flat" cmpd="sng" algn="ctr">
                      <a:solidFill>
                        <a:srgbClr val="4F81B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1699" w:rsidRPr="00404623">
        <w:rPr>
          <w:rFonts w:ascii="Seaford" w:hAnsi="Seaford"/>
          <w:b/>
          <w:bCs/>
          <w:sz w:val="24"/>
          <w:szCs w:val="24"/>
          <w:lang w:val="en-GB"/>
        </w:rPr>
        <w:t>Purpose:</w:t>
      </w:r>
      <w:r w:rsidR="00FD1699" w:rsidRPr="00404623">
        <w:rPr>
          <w:rFonts w:ascii="Seaford" w:hAnsi="Seaford"/>
          <w:sz w:val="24"/>
          <w:szCs w:val="24"/>
          <w:lang w:val="en-GB"/>
        </w:rPr>
        <w:t xml:space="preserve"> A quick, structured peer-support tool for staff to collaboratively problem-solve around a pupil or situation.</w:t>
      </w:r>
      <w:r w:rsidR="00A96C7F" w:rsidRPr="00404623">
        <w:rPr>
          <w:rFonts w:ascii="Seaford" w:hAnsi="Seaford"/>
        </w:rPr>
        <w:t xml:space="preserve"> </w:t>
      </w:r>
    </w:p>
    <w:p w14:paraId="5152977A" w14:textId="79428593" w:rsidR="00FD1699" w:rsidRPr="00404623" w:rsidRDefault="00FD1699" w:rsidP="00977369">
      <w:pPr>
        <w:rPr>
          <w:rFonts w:ascii="Seaford" w:hAnsi="Seaford"/>
          <w:sz w:val="24"/>
          <w:szCs w:val="24"/>
          <w:lang w:val="en-GB"/>
        </w:rPr>
      </w:pPr>
      <w:r w:rsidRPr="00404623">
        <w:rPr>
          <w:rFonts w:ascii="Seaford" w:hAnsi="Seaford"/>
          <w:b/>
          <w:bCs/>
          <w:sz w:val="24"/>
          <w:szCs w:val="24"/>
          <w:lang w:val="en-GB"/>
        </w:rPr>
        <w:t>Use:</w:t>
      </w:r>
      <w:r w:rsidRPr="00404623">
        <w:rPr>
          <w:rFonts w:ascii="Seaford" w:hAnsi="Seaford"/>
          <w:sz w:val="24"/>
          <w:szCs w:val="24"/>
          <w:lang w:val="en-GB"/>
        </w:rPr>
        <w:t xml:space="preserve"> </w:t>
      </w:r>
      <w:r w:rsidR="001D211D" w:rsidRPr="00404623">
        <w:rPr>
          <w:rFonts w:ascii="Seaford" w:hAnsi="Seaford"/>
          <w:sz w:val="24"/>
          <w:szCs w:val="24"/>
          <w:lang w:val="en-GB"/>
        </w:rPr>
        <w:t xml:space="preserve">EPs can facilitate </w:t>
      </w:r>
      <w:r w:rsidR="00F52AB5" w:rsidRPr="00404623">
        <w:rPr>
          <w:rFonts w:ascii="Seaford" w:hAnsi="Seaford"/>
          <w:sz w:val="24"/>
          <w:szCs w:val="24"/>
          <w:lang w:val="en-GB"/>
        </w:rPr>
        <w:t>Solution Circles</w:t>
      </w:r>
      <w:r w:rsidR="00F519CE" w:rsidRPr="00404623">
        <w:rPr>
          <w:rFonts w:ascii="Seaford" w:hAnsi="Seaford"/>
          <w:sz w:val="24"/>
          <w:szCs w:val="24"/>
          <w:lang w:val="en-GB"/>
        </w:rPr>
        <w:t xml:space="preserve"> or share more information with school about this tool. </w:t>
      </w:r>
    </w:p>
    <w:p w14:paraId="688A11D6" w14:textId="245F0DE9" w:rsidR="00FD1699" w:rsidRPr="00404623" w:rsidRDefault="00FD1699" w:rsidP="00977369">
      <w:pPr>
        <w:rPr>
          <w:rFonts w:ascii="Seaford" w:hAnsi="Seaford"/>
          <w:sz w:val="24"/>
          <w:szCs w:val="24"/>
          <w:lang w:val="en-GB"/>
        </w:rPr>
      </w:pPr>
      <w:r w:rsidRPr="00404623">
        <w:rPr>
          <w:rFonts w:ascii="Seaford" w:hAnsi="Seaford"/>
          <w:b/>
          <w:bCs/>
          <w:sz w:val="24"/>
          <w:szCs w:val="24"/>
          <w:lang w:val="en-GB"/>
        </w:rPr>
        <w:t>Link to Belonging</w:t>
      </w:r>
      <w:r w:rsidRPr="00404623">
        <w:rPr>
          <w:rFonts w:ascii="Seaford" w:hAnsi="Seaford"/>
          <w:sz w:val="24"/>
          <w:szCs w:val="24"/>
          <w:lang w:val="en-GB"/>
        </w:rPr>
        <w:t>: Encourages collective responsibility and creative thinking to support pupils at risk of exclusion.</w:t>
      </w:r>
    </w:p>
    <w:p w14:paraId="063192B9" w14:textId="721D913B" w:rsidR="00BE4D91" w:rsidRPr="00404623" w:rsidRDefault="00BE4D91" w:rsidP="00FD1699">
      <w:pPr>
        <w:pStyle w:val="Heading3"/>
        <w:rPr>
          <w:rFonts w:ascii="Seaford" w:hAnsi="Seaford"/>
          <w:sz w:val="24"/>
          <w:szCs w:val="24"/>
          <w:lang w:val="en-GB"/>
        </w:rPr>
      </w:pPr>
    </w:p>
    <w:p w14:paraId="13DB3BE0" w14:textId="70E4B97D" w:rsidR="00FD1699" w:rsidRPr="00404623" w:rsidRDefault="007E0B2E" w:rsidP="00FD1699">
      <w:pPr>
        <w:pStyle w:val="Heading3"/>
        <w:rPr>
          <w:rFonts w:ascii="Seaford" w:hAnsi="Seaford"/>
          <w:sz w:val="24"/>
          <w:szCs w:val="24"/>
          <w:lang w:val="en-GB"/>
        </w:rPr>
      </w:pPr>
      <w:r w:rsidRPr="000B35AE">
        <w:rPr>
          <w:rFonts w:ascii="Seaford" w:hAnsi="Seaford"/>
          <w:noProof/>
          <w:sz w:val="24"/>
          <w:szCs w:val="24"/>
          <w:lang w:val="en-GB"/>
        </w:rPr>
        <w:drawing>
          <wp:anchor distT="0" distB="0" distL="114300" distR="114300" simplePos="0" relativeHeight="251677696" behindDoc="1" locked="0" layoutInCell="1" allowOverlap="1" wp14:anchorId="075CC9F3" wp14:editId="4BD620E2">
            <wp:simplePos x="0" y="0"/>
            <wp:positionH relativeFrom="column">
              <wp:posOffset>3562350</wp:posOffset>
            </wp:positionH>
            <wp:positionV relativeFrom="paragraph">
              <wp:posOffset>332105</wp:posOffset>
            </wp:positionV>
            <wp:extent cx="2247265" cy="4283075"/>
            <wp:effectExtent l="0" t="0" r="635" b="3175"/>
            <wp:wrapTight wrapText="bothSides">
              <wp:wrapPolygon edited="0">
                <wp:start x="0" y="0"/>
                <wp:lineTo x="0" y="21520"/>
                <wp:lineTo x="21423" y="21520"/>
                <wp:lineTo x="21423" y="0"/>
                <wp:lineTo x="0" y="0"/>
              </wp:wrapPolygon>
            </wp:wrapTight>
            <wp:docPr id="2038541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41705" name=""/>
                    <pic:cNvPicPr/>
                  </pic:nvPicPr>
                  <pic:blipFill>
                    <a:blip r:embed="rId44"/>
                    <a:stretch>
                      <a:fillRect/>
                    </a:stretch>
                  </pic:blipFill>
                  <pic:spPr>
                    <a:xfrm>
                      <a:off x="0" y="0"/>
                      <a:ext cx="2247265" cy="4283075"/>
                    </a:xfrm>
                    <a:prstGeom prst="rect">
                      <a:avLst/>
                    </a:prstGeom>
                  </pic:spPr>
                </pic:pic>
              </a:graphicData>
            </a:graphic>
            <wp14:sizeRelH relativeFrom="margin">
              <wp14:pctWidth>0</wp14:pctWidth>
            </wp14:sizeRelH>
            <wp14:sizeRelV relativeFrom="margin">
              <wp14:pctHeight>0</wp14:pctHeight>
            </wp14:sizeRelV>
          </wp:anchor>
        </w:drawing>
      </w:r>
      <w:bookmarkStart w:id="26" w:name="_Toc239670487"/>
      <w:r w:rsidR="00FD1699" w:rsidRPr="00404623">
        <w:rPr>
          <w:rFonts w:ascii="Seaford" w:hAnsi="Seaford"/>
          <w:sz w:val="24"/>
          <w:szCs w:val="24"/>
          <w:lang w:val="en-GB"/>
        </w:rPr>
        <w:t>Circle of Adults</w:t>
      </w:r>
      <w:bookmarkEnd w:id="26"/>
    </w:p>
    <w:p w14:paraId="5C94C0E3" w14:textId="762AE9CF" w:rsidR="00FD1699" w:rsidRPr="00404623" w:rsidRDefault="00FD1699" w:rsidP="00977369">
      <w:pPr>
        <w:rPr>
          <w:rFonts w:ascii="Seaford" w:hAnsi="Seaford"/>
          <w:sz w:val="24"/>
          <w:szCs w:val="24"/>
          <w:lang w:val="en-GB"/>
        </w:rPr>
      </w:pPr>
      <w:r w:rsidRPr="00404623">
        <w:rPr>
          <w:rFonts w:ascii="Seaford" w:hAnsi="Seaford"/>
          <w:b/>
          <w:bCs/>
          <w:sz w:val="24"/>
          <w:szCs w:val="24"/>
          <w:lang w:val="en-GB"/>
        </w:rPr>
        <w:t>Purpose:</w:t>
      </w:r>
      <w:r w:rsidRPr="00404623">
        <w:rPr>
          <w:rFonts w:ascii="Seaford" w:hAnsi="Seaford"/>
          <w:sz w:val="24"/>
          <w:szCs w:val="24"/>
          <w:lang w:val="en-GB"/>
        </w:rPr>
        <w:t xml:space="preserve"> A </w:t>
      </w:r>
      <w:r w:rsidR="000E6C4B">
        <w:rPr>
          <w:rFonts w:ascii="Seaford" w:hAnsi="Seaford"/>
          <w:sz w:val="24"/>
          <w:szCs w:val="24"/>
          <w:lang w:val="en-GB"/>
        </w:rPr>
        <w:t xml:space="preserve">problem-solving process which is intended to support </w:t>
      </w:r>
      <w:r w:rsidR="008617AF">
        <w:rPr>
          <w:rFonts w:ascii="Seaford" w:hAnsi="Seaford"/>
          <w:sz w:val="24"/>
          <w:szCs w:val="24"/>
          <w:lang w:val="en-GB"/>
        </w:rPr>
        <w:t xml:space="preserve">teams of adults in school; particularly those who are working with </w:t>
      </w:r>
      <w:r w:rsidR="00F436D4">
        <w:rPr>
          <w:rFonts w:ascii="Seaford" w:hAnsi="Seaford"/>
          <w:sz w:val="24"/>
          <w:szCs w:val="24"/>
          <w:lang w:val="en-GB"/>
        </w:rPr>
        <w:t>young people</w:t>
      </w:r>
      <w:r w:rsidR="008617AF">
        <w:rPr>
          <w:rFonts w:ascii="Seaford" w:hAnsi="Seaford"/>
          <w:sz w:val="24"/>
          <w:szCs w:val="24"/>
          <w:lang w:val="en-GB"/>
        </w:rPr>
        <w:t xml:space="preserve"> with SEMH</w:t>
      </w:r>
      <w:r w:rsidR="003006B2">
        <w:rPr>
          <w:rFonts w:ascii="Seaford" w:hAnsi="Seaford"/>
          <w:sz w:val="24"/>
          <w:szCs w:val="24"/>
          <w:lang w:val="en-GB"/>
        </w:rPr>
        <w:t xml:space="preserve"> needs</w:t>
      </w:r>
      <w:r w:rsidR="00F22DBA">
        <w:rPr>
          <w:rFonts w:ascii="Seaford" w:hAnsi="Seaford"/>
          <w:sz w:val="24"/>
          <w:szCs w:val="24"/>
          <w:lang w:val="en-GB"/>
        </w:rPr>
        <w:t xml:space="preserve"> which can present challenges to the adults who support them</w:t>
      </w:r>
      <w:r w:rsidRPr="00404623">
        <w:rPr>
          <w:rFonts w:ascii="Seaford" w:hAnsi="Seaford"/>
          <w:sz w:val="24"/>
          <w:szCs w:val="24"/>
          <w:lang w:val="en-GB"/>
        </w:rPr>
        <w:t>.</w:t>
      </w:r>
    </w:p>
    <w:p w14:paraId="51B8AD5D" w14:textId="6DED87F4" w:rsidR="00FD1699" w:rsidRPr="00404623" w:rsidRDefault="00FD1699" w:rsidP="00977369">
      <w:pPr>
        <w:rPr>
          <w:rFonts w:ascii="Seaford" w:hAnsi="Seaford"/>
          <w:sz w:val="24"/>
          <w:szCs w:val="24"/>
          <w:lang w:val="en-GB"/>
        </w:rPr>
      </w:pPr>
      <w:r w:rsidRPr="00404623">
        <w:rPr>
          <w:rFonts w:ascii="Seaford" w:hAnsi="Seaford"/>
          <w:b/>
          <w:bCs/>
          <w:sz w:val="24"/>
          <w:szCs w:val="24"/>
          <w:lang w:val="en-GB"/>
        </w:rPr>
        <w:t>Use:</w:t>
      </w:r>
      <w:r w:rsidRPr="00404623">
        <w:rPr>
          <w:rFonts w:ascii="Seaford" w:hAnsi="Seaford"/>
          <w:sz w:val="24"/>
          <w:szCs w:val="24"/>
          <w:lang w:val="en-GB"/>
        </w:rPr>
        <w:t xml:space="preserve"> </w:t>
      </w:r>
      <w:r w:rsidR="0028365D">
        <w:rPr>
          <w:rFonts w:ascii="Seaford" w:hAnsi="Seaford"/>
          <w:sz w:val="24"/>
          <w:szCs w:val="24"/>
          <w:lang w:val="en-GB"/>
        </w:rPr>
        <w:t>During the session, the group are guided through a set of questions</w:t>
      </w:r>
      <w:r w:rsidR="008F1DDC">
        <w:rPr>
          <w:rFonts w:ascii="Seaford" w:hAnsi="Seaford"/>
          <w:sz w:val="24"/>
          <w:szCs w:val="24"/>
          <w:lang w:val="en-GB"/>
        </w:rPr>
        <w:t xml:space="preserve"> by the facilitator, with the aim of ga</w:t>
      </w:r>
      <w:r w:rsidR="00107056">
        <w:rPr>
          <w:rFonts w:ascii="Seaford" w:hAnsi="Seaford"/>
          <w:sz w:val="24"/>
          <w:szCs w:val="24"/>
          <w:lang w:val="en-GB"/>
        </w:rPr>
        <w:t>ining a deeper understandi</w:t>
      </w:r>
      <w:r w:rsidR="007E0B2E">
        <w:rPr>
          <w:rFonts w:ascii="Seaford" w:hAnsi="Seaford"/>
          <w:sz w:val="24"/>
          <w:szCs w:val="24"/>
          <w:lang w:val="en-GB"/>
        </w:rPr>
        <w:t xml:space="preserve">ng of the young person’s behaviour, unmet needs (including belonging) and to develop new strategies to support them. </w:t>
      </w:r>
    </w:p>
    <w:p w14:paraId="34DFAE04" w14:textId="77777777" w:rsidR="00FD1699" w:rsidRPr="00404623" w:rsidRDefault="00FD1699" w:rsidP="00977369">
      <w:pPr>
        <w:rPr>
          <w:rFonts w:ascii="Seaford" w:hAnsi="Seaford"/>
          <w:sz w:val="24"/>
          <w:szCs w:val="24"/>
          <w:lang w:val="en-GB"/>
        </w:rPr>
      </w:pPr>
      <w:r w:rsidRPr="00404623">
        <w:rPr>
          <w:rFonts w:ascii="Seaford" w:hAnsi="Seaford"/>
          <w:b/>
          <w:bCs/>
          <w:sz w:val="24"/>
          <w:szCs w:val="24"/>
          <w:lang w:val="en-GB"/>
        </w:rPr>
        <w:t>Link to Belonging</w:t>
      </w:r>
      <w:r w:rsidRPr="00404623">
        <w:rPr>
          <w:rFonts w:ascii="Seaford" w:hAnsi="Seaford"/>
          <w:sz w:val="24"/>
          <w:szCs w:val="24"/>
          <w:lang w:val="en-GB"/>
        </w:rPr>
        <w:t>: Builds empathy and shared understanding, helping staff feel more connected to the pupil’s experience.</w:t>
      </w:r>
    </w:p>
    <w:p w14:paraId="4BFE51E0" w14:textId="58D65369" w:rsidR="00A60CF7" w:rsidRDefault="00FD1699" w:rsidP="00977369">
      <w:pPr>
        <w:rPr>
          <w:rFonts w:ascii="Seaford" w:hAnsi="Seaford"/>
          <w:sz w:val="24"/>
          <w:szCs w:val="24"/>
          <w:lang w:val="en-GB"/>
        </w:rPr>
      </w:pPr>
      <w:r w:rsidRPr="00404623">
        <w:rPr>
          <w:rFonts w:ascii="Seaford" w:hAnsi="Seaford"/>
          <w:b/>
          <w:bCs/>
          <w:sz w:val="24"/>
          <w:szCs w:val="24"/>
          <w:lang w:val="en-GB"/>
        </w:rPr>
        <w:t>Link to Belonging:</w:t>
      </w:r>
      <w:r w:rsidRPr="00404623">
        <w:rPr>
          <w:rFonts w:ascii="Seaford" w:hAnsi="Seaford"/>
          <w:sz w:val="24"/>
          <w:szCs w:val="24"/>
          <w:lang w:val="en-GB"/>
        </w:rPr>
        <w:t xml:space="preserve"> Promotes hope, agency, and collective commitment to inclusion and pupil wellbeing.</w:t>
      </w:r>
    </w:p>
    <w:p w14:paraId="6623920B" w14:textId="12AC8484" w:rsidR="00037A55" w:rsidRPr="00404623" w:rsidRDefault="00037A55" w:rsidP="00977369">
      <w:pPr>
        <w:rPr>
          <w:rFonts w:ascii="Seaford" w:hAnsi="Seaford"/>
          <w:sz w:val="24"/>
          <w:szCs w:val="24"/>
          <w:lang w:val="en-GB"/>
        </w:rPr>
      </w:pPr>
    </w:p>
    <w:p w14:paraId="0887DAC7" w14:textId="5E22AB21" w:rsidR="00915625" w:rsidRPr="00404623" w:rsidRDefault="00915625" w:rsidP="00915625">
      <w:pPr>
        <w:pStyle w:val="Heading2"/>
        <w:rPr>
          <w:rFonts w:ascii="Seaford" w:hAnsi="Seaford"/>
          <w:sz w:val="24"/>
          <w:szCs w:val="24"/>
          <w:lang w:val="en-GB"/>
        </w:rPr>
      </w:pPr>
      <w:bookmarkStart w:id="27" w:name="_Toc239670488"/>
      <w:r w:rsidRPr="00404623">
        <w:rPr>
          <w:rFonts w:ascii="Seaford" w:hAnsi="Seaford"/>
          <w:sz w:val="24"/>
          <w:szCs w:val="24"/>
          <w:lang w:val="en-GB"/>
        </w:rPr>
        <w:lastRenderedPageBreak/>
        <w:t>Pupil Voice Activities</w:t>
      </w:r>
      <w:bookmarkEnd w:id="27"/>
    </w:p>
    <w:p w14:paraId="5EE0CBD9" w14:textId="4CA93F65" w:rsidR="00915625" w:rsidRPr="00404623" w:rsidRDefault="00915625" w:rsidP="00977369">
      <w:pPr>
        <w:rPr>
          <w:rFonts w:ascii="Seaford" w:hAnsi="Seaford"/>
          <w:sz w:val="24"/>
          <w:szCs w:val="24"/>
          <w:lang w:val="en-GB"/>
        </w:rPr>
      </w:pPr>
      <w:r w:rsidRPr="00404623">
        <w:rPr>
          <w:rFonts w:ascii="Seaford" w:hAnsi="Seaford"/>
          <w:sz w:val="24"/>
          <w:szCs w:val="24"/>
          <w:lang w:val="en-GB"/>
        </w:rPr>
        <w:t xml:space="preserve">These </w:t>
      </w:r>
      <w:r w:rsidR="00FD1699" w:rsidRPr="00404623">
        <w:rPr>
          <w:rFonts w:ascii="Seaford" w:hAnsi="Seaford"/>
          <w:sz w:val="24"/>
          <w:szCs w:val="24"/>
          <w:lang w:val="en-GB"/>
        </w:rPr>
        <w:t xml:space="preserve">activities </w:t>
      </w:r>
      <w:r w:rsidRPr="00404623">
        <w:rPr>
          <w:rFonts w:ascii="Seaford" w:hAnsi="Seaford"/>
          <w:sz w:val="24"/>
          <w:szCs w:val="24"/>
          <w:lang w:val="en-GB"/>
        </w:rPr>
        <w:t>aim to help pupils express their experiences, needs, and ideas around belonging.</w:t>
      </w:r>
    </w:p>
    <w:p w14:paraId="327FBB7C" w14:textId="2041901B" w:rsidR="0062022B" w:rsidRPr="00404623" w:rsidRDefault="0062022B" w:rsidP="00977369">
      <w:pPr>
        <w:rPr>
          <w:rFonts w:ascii="Seaford" w:hAnsi="Seaford"/>
          <w:sz w:val="24"/>
          <w:szCs w:val="24"/>
          <w:lang w:val="en-GB"/>
        </w:rPr>
      </w:pPr>
      <w:r w:rsidRPr="00404623">
        <w:rPr>
          <w:rFonts w:ascii="Seaford" w:hAnsi="Seaford"/>
          <w:noProof/>
          <w:sz w:val="24"/>
          <w:szCs w:val="24"/>
          <w:lang w:val="en-GB"/>
        </w:rPr>
        <w:drawing>
          <wp:inline distT="0" distB="0" distL="0" distR="0" wp14:anchorId="1E3938A7" wp14:editId="4EA1006A">
            <wp:extent cx="4079631" cy="6119446"/>
            <wp:effectExtent l="0" t="0" r="0" b="0"/>
            <wp:docPr id="1464495173"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495173" name="Picture 1" descr="A screenshot of a cell phone&#10;&#10;AI-generated content may be incorrect."/>
                    <pic:cNvPicPr/>
                  </pic:nvPicPr>
                  <pic:blipFill>
                    <a:blip r:embed="rId45"/>
                    <a:stretch>
                      <a:fillRect/>
                    </a:stretch>
                  </pic:blipFill>
                  <pic:spPr>
                    <a:xfrm>
                      <a:off x="0" y="0"/>
                      <a:ext cx="4085496" cy="6128243"/>
                    </a:xfrm>
                    <a:prstGeom prst="rect">
                      <a:avLst/>
                    </a:prstGeom>
                  </pic:spPr>
                </pic:pic>
              </a:graphicData>
            </a:graphic>
          </wp:inline>
        </w:drawing>
      </w:r>
    </w:p>
    <w:p w14:paraId="5B927D05" w14:textId="4261EAEE" w:rsidR="00EA2A6C" w:rsidRPr="00404623" w:rsidRDefault="00530886" w:rsidP="00EA2A6C">
      <w:pPr>
        <w:rPr>
          <w:rFonts w:ascii="Seaford" w:hAnsi="Seaford"/>
          <w:sz w:val="24"/>
          <w:szCs w:val="24"/>
          <w:lang w:val="en-GB"/>
        </w:rPr>
      </w:pPr>
      <w:r w:rsidRPr="00404623">
        <w:rPr>
          <w:rFonts w:ascii="Seaford" w:hAnsi="Seaford"/>
          <w:sz w:val="24"/>
          <w:szCs w:val="24"/>
          <w:lang w:val="en-GB"/>
        </w:rPr>
        <w:t xml:space="preserve">If you have </w:t>
      </w:r>
      <w:r w:rsidR="00E44755" w:rsidRPr="00404623">
        <w:rPr>
          <w:rFonts w:ascii="Seaford" w:hAnsi="Seaford"/>
          <w:sz w:val="24"/>
          <w:szCs w:val="24"/>
          <w:lang w:val="en-GB"/>
        </w:rPr>
        <w:t>identified</w:t>
      </w:r>
      <w:r w:rsidRPr="00404623">
        <w:rPr>
          <w:rFonts w:ascii="Seaford" w:hAnsi="Seaford"/>
          <w:sz w:val="24"/>
          <w:szCs w:val="24"/>
          <w:lang w:val="en-GB"/>
        </w:rPr>
        <w:t xml:space="preserve"> individual pupils who are struggling </w:t>
      </w:r>
      <w:r w:rsidR="00E44755" w:rsidRPr="00404623">
        <w:rPr>
          <w:rFonts w:ascii="Seaford" w:hAnsi="Seaford"/>
          <w:sz w:val="24"/>
          <w:szCs w:val="24"/>
          <w:lang w:val="en-GB"/>
        </w:rPr>
        <w:t>with</w:t>
      </w:r>
      <w:r w:rsidRPr="00404623">
        <w:rPr>
          <w:rFonts w:ascii="Seaford" w:hAnsi="Seaford"/>
          <w:sz w:val="24"/>
          <w:szCs w:val="24"/>
          <w:lang w:val="en-GB"/>
        </w:rPr>
        <w:t xml:space="preserve"> their sense of b</w:t>
      </w:r>
      <w:r w:rsidR="00E44755" w:rsidRPr="00404623">
        <w:rPr>
          <w:rFonts w:ascii="Seaford" w:hAnsi="Seaford"/>
          <w:sz w:val="24"/>
          <w:szCs w:val="24"/>
          <w:lang w:val="en-GB"/>
        </w:rPr>
        <w:t>elong</w:t>
      </w:r>
      <w:r w:rsidRPr="00404623">
        <w:rPr>
          <w:rFonts w:ascii="Seaford" w:hAnsi="Seaford"/>
          <w:sz w:val="24"/>
          <w:szCs w:val="24"/>
          <w:lang w:val="en-GB"/>
        </w:rPr>
        <w:t xml:space="preserve">ing to the school community, you could use the below </w:t>
      </w:r>
      <w:r w:rsidR="00E44755" w:rsidRPr="00404623">
        <w:rPr>
          <w:rFonts w:ascii="Seaford" w:hAnsi="Seaford"/>
          <w:sz w:val="24"/>
          <w:szCs w:val="24"/>
          <w:lang w:val="en-GB"/>
        </w:rPr>
        <w:t>person</w:t>
      </w:r>
      <w:r w:rsidR="00000BAF" w:rsidRPr="00404623">
        <w:rPr>
          <w:rFonts w:ascii="Seaford" w:hAnsi="Seaford"/>
          <w:sz w:val="24"/>
          <w:szCs w:val="24"/>
          <w:lang w:val="en-GB"/>
        </w:rPr>
        <w:t>-centred</w:t>
      </w:r>
      <w:r w:rsidR="00E44755" w:rsidRPr="00404623">
        <w:rPr>
          <w:rFonts w:ascii="Seaford" w:hAnsi="Seaford"/>
          <w:sz w:val="24"/>
          <w:szCs w:val="24"/>
          <w:lang w:val="en-GB"/>
        </w:rPr>
        <w:t xml:space="preserve"> techniques to better understand their needs:</w:t>
      </w:r>
    </w:p>
    <w:p w14:paraId="13D4D7B3" w14:textId="20F6575E" w:rsidR="00533966" w:rsidRPr="00404623" w:rsidRDefault="00533966" w:rsidP="00A46256">
      <w:pPr>
        <w:pStyle w:val="Heading3"/>
        <w:rPr>
          <w:rFonts w:ascii="Seaford" w:hAnsi="Seaford"/>
          <w:sz w:val="24"/>
          <w:szCs w:val="24"/>
          <w:lang w:val="en-GB"/>
        </w:rPr>
      </w:pPr>
      <w:bookmarkStart w:id="28" w:name="_Toc239670489"/>
      <w:r w:rsidRPr="00404623">
        <w:rPr>
          <w:rFonts w:ascii="Seaford" w:hAnsi="Seaford"/>
          <w:sz w:val="24"/>
          <w:szCs w:val="24"/>
          <w:lang w:val="en-GB"/>
        </w:rPr>
        <w:lastRenderedPageBreak/>
        <w:t>PATH</w:t>
      </w:r>
      <w:bookmarkEnd w:id="28"/>
    </w:p>
    <w:p w14:paraId="78B0E6F9" w14:textId="436218A0" w:rsidR="00E55812" w:rsidRPr="00404623" w:rsidRDefault="00971A1E" w:rsidP="00E55812">
      <w:pPr>
        <w:rPr>
          <w:rFonts w:ascii="Seaford" w:hAnsi="Seaford"/>
          <w:sz w:val="24"/>
          <w:szCs w:val="24"/>
          <w:lang w:val="en-GB"/>
        </w:rPr>
      </w:pPr>
      <w:r w:rsidRPr="00404623">
        <w:rPr>
          <w:rFonts w:ascii="Seaford" w:hAnsi="Seaford"/>
          <w:sz w:val="24"/>
          <w:szCs w:val="24"/>
          <w:lang w:val="en-GB"/>
        </w:rPr>
        <w:t xml:space="preserve">A PATH </w:t>
      </w:r>
      <w:r w:rsidR="005B4A65" w:rsidRPr="00404623">
        <w:rPr>
          <w:rFonts w:ascii="Seaford" w:hAnsi="Seaford"/>
          <w:sz w:val="24"/>
          <w:szCs w:val="24"/>
          <w:lang w:val="en-GB"/>
        </w:rPr>
        <w:t>(</w:t>
      </w:r>
      <w:hyperlink r:id="rId46" w:history="1">
        <w:r w:rsidR="005B4A65" w:rsidRPr="00404623">
          <w:rPr>
            <w:rStyle w:val="Hyperlink"/>
            <w:rFonts w:ascii="Seaford" w:hAnsi="Seaford"/>
            <w:sz w:val="24"/>
            <w:szCs w:val="24"/>
            <w:lang w:val="en-GB"/>
          </w:rPr>
          <w:t>Planning Alternative Tomorrows with Hope</w:t>
        </w:r>
      </w:hyperlink>
      <w:r w:rsidR="005B4A65" w:rsidRPr="00404623">
        <w:rPr>
          <w:rFonts w:ascii="Seaford" w:hAnsi="Seaford"/>
          <w:sz w:val="24"/>
          <w:szCs w:val="24"/>
          <w:lang w:val="en-GB"/>
        </w:rPr>
        <w:t xml:space="preserve">) </w:t>
      </w:r>
      <w:r w:rsidR="00D94540" w:rsidRPr="00AA3F39">
        <w:rPr>
          <w:rFonts w:ascii="Seaford" w:hAnsi="Seaford"/>
          <w:sz w:val="24"/>
          <w:szCs w:val="24"/>
          <w:lang w:val="en-GB"/>
        </w:rPr>
        <w:t>is</w:t>
      </w:r>
      <w:r w:rsidR="00AA3F39" w:rsidRPr="00AA3F39">
        <w:rPr>
          <w:rFonts w:ascii="Seaford" w:hAnsi="Seaford"/>
          <w:sz w:val="24"/>
          <w:szCs w:val="24"/>
          <w:lang w:val="en-GB"/>
        </w:rPr>
        <w:t xml:space="preserve"> a person-centred planning tool that brings together a young person and the people who are important to them to create a shared vision for the future. By ensuring the young person's voice is central to the process, PATH promotes agency, participation, hope and ownership, all of which are key foundations of school belonging. The collaborative nature of PATH also strengthens relationships and helps young people feel heard, valued and supported within their school community.</w:t>
      </w:r>
    </w:p>
    <w:p w14:paraId="1417CA44" w14:textId="1218356F" w:rsidR="00D94540" w:rsidRPr="00D94540" w:rsidRDefault="00D94540" w:rsidP="00D94540">
      <w:pPr>
        <w:rPr>
          <w:rFonts w:ascii="Seaford" w:hAnsi="Seaford"/>
          <w:sz w:val="24"/>
          <w:szCs w:val="24"/>
          <w:lang w:val="en-GB"/>
        </w:rPr>
      </w:pPr>
      <w:r w:rsidRPr="00FB5638">
        <w:rPr>
          <w:rFonts w:ascii="Seaford" w:hAnsi="Seaford"/>
          <w:noProof/>
          <w:sz w:val="24"/>
          <w:szCs w:val="24"/>
        </w:rPr>
        <w:drawing>
          <wp:anchor distT="0" distB="0" distL="114300" distR="114300" simplePos="0" relativeHeight="251678720" behindDoc="1" locked="0" layoutInCell="1" allowOverlap="1" wp14:anchorId="49EA2045" wp14:editId="29AEBAE0">
            <wp:simplePos x="0" y="0"/>
            <wp:positionH relativeFrom="margin">
              <wp:align>left</wp:align>
            </wp:positionH>
            <wp:positionV relativeFrom="paragraph">
              <wp:posOffset>1084580</wp:posOffset>
            </wp:positionV>
            <wp:extent cx="5758815" cy="3815080"/>
            <wp:effectExtent l="0" t="0" r="0" b="0"/>
            <wp:wrapTight wrapText="bothSides">
              <wp:wrapPolygon edited="0">
                <wp:start x="0" y="0"/>
                <wp:lineTo x="0" y="21463"/>
                <wp:lineTo x="21507" y="21463"/>
                <wp:lineTo x="21507" y="0"/>
                <wp:lineTo x="0" y="0"/>
              </wp:wrapPolygon>
            </wp:wrapTight>
            <wp:docPr id="4" name="Content Placeholder 3">
              <a:extLst xmlns:a="http://schemas.openxmlformats.org/drawingml/2006/main">
                <a:ext uri="{FF2B5EF4-FFF2-40B4-BE49-F238E27FC236}">
                  <a16:creationId xmlns:a16="http://schemas.microsoft.com/office/drawing/2014/main" id="{0255F85D-49A8-4376-A981-D500B59D30B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0255F85D-49A8-4376-A981-D500B59D30B2}"/>
                        </a:ext>
                      </a:extLst>
                    </pic:cNvPr>
                    <pic:cNvPicPr>
                      <a:picLocks noGrp="1" noChangeAspect="1"/>
                    </pic:cNvPicPr>
                  </pic:nvPicPr>
                  <pic:blipFill>
                    <a:blip r:embed="rId47"/>
                    <a:stretch>
                      <a:fillRect/>
                    </a:stretch>
                  </pic:blipFill>
                  <pic:spPr>
                    <a:xfrm>
                      <a:off x="0" y="0"/>
                      <a:ext cx="5758815" cy="3815080"/>
                    </a:xfrm>
                    <a:prstGeom prst="rect">
                      <a:avLst/>
                    </a:prstGeom>
                  </pic:spPr>
                </pic:pic>
              </a:graphicData>
            </a:graphic>
            <wp14:sizeRelH relativeFrom="margin">
              <wp14:pctWidth>0</wp14:pctWidth>
            </wp14:sizeRelH>
            <wp14:sizeRelV relativeFrom="margin">
              <wp14:pctHeight>0</wp14:pctHeight>
            </wp14:sizeRelV>
          </wp:anchor>
        </w:drawing>
      </w:r>
      <w:r w:rsidRPr="00D94540">
        <w:rPr>
          <w:rFonts w:ascii="Seaford" w:hAnsi="Seaford"/>
          <w:sz w:val="24"/>
          <w:szCs w:val="24"/>
          <w:lang w:val="en-GB"/>
        </w:rPr>
        <w:t>A typical PATH involves a group of 5-10 people chosen by the young person and usually takes around 90 minutes. The Educational Psychology Service can support schools to facilitate a PATH or provide further information about how it can be used to promote belonging and inclusion.</w:t>
      </w:r>
    </w:p>
    <w:p w14:paraId="4D7A0FC6" w14:textId="63D93B37" w:rsidR="003278C8" w:rsidRDefault="003278C8" w:rsidP="003278C8">
      <w:pPr>
        <w:rPr>
          <w:rFonts w:ascii="Seaford" w:hAnsi="Seaford"/>
          <w:sz w:val="24"/>
          <w:szCs w:val="24"/>
          <w:lang w:val="en-GB"/>
        </w:rPr>
      </w:pPr>
    </w:p>
    <w:p w14:paraId="782564C1" w14:textId="2ED73BA7" w:rsidR="007B59AD" w:rsidRDefault="007B59AD" w:rsidP="00977369">
      <w:pPr>
        <w:rPr>
          <w:rFonts w:ascii="Seaford" w:hAnsi="Seaford"/>
          <w:sz w:val="24"/>
          <w:szCs w:val="24"/>
          <w:lang w:val="en-GB"/>
        </w:rPr>
      </w:pPr>
    </w:p>
    <w:p w14:paraId="4E26CB4B" w14:textId="40A81E07" w:rsidR="00533966" w:rsidRPr="00404623" w:rsidRDefault="009412C4" w:rsidP="006D1423">
      <w:pPr>
        <w:pStyle w:val="Heading3"/>
        <w:rPr>
          <w:rFonts w:ascii="Seaford" w:hAnsi="Seaford"/>
          <w:sz w:val="24"/>
          <w:szCs w:val="24"/>
          <w:lang w:val="en-GB"/>
        </w:rPr>
      </w:pPr>
      <w:bookmarkStart w:id="29" w:name="_Toc239670490"/>
      <w:r>
        <w:rPr>
          <w:rFonts w:ascii="Seaford" w:hAnsi="Seaford"/>
          <w:sz w:val="24"/>
          <w:szCs w:val="24"/>
          <w:lang w:val="en-GB"/>
        </w:rPr>
        <w:lastRenderedPageBreak/>
        <w:t>D</w:t>
      </w:r>
      <w:r w:rsidR="00533966" w:rsidRPr="00404623">
        <w:rPr>
          <w:rFonts w:ascii="Seaford" w:hAnsi="Seaford"/>
          <w:sz w:val="24"/>
          <w:szCs w:val="24"/>
          <w:lang w:val="en-GB"/>
        </w:rPr>
        <w:t>rawing the Ideal School</w:t>
      </w:r>
      <w:bookmarkEnd w:id="29"/>
    </w:p>
    <w:p w14:paraId="0CB9B901" w14:textId="0B657D7D" w:rsidR="00014774" w:rsidRPr="00404623" w:rsidRDefault="00C252A4" w:rsidP="00014774">
      <w:pPr>
        <w:rPr>
          <w:rFonts w:ascii="Seaford" w:hAnsi="Seaford"/>
          <w:sz w:val="24"/>
          <w:szCs w:val="24"/>
          <w:lang w:val="en-GB"/>
        </w:rPr>
      </w:pPr>
      <w:r w:rsidRPr="00404623">
        <w:rPr>
          <w:rFonts w:ascii="Seaford" w:hAnsi="Seaford"/>
          <w:noProof/>
          <w:sz w:val="24"/>
          <w:szCs w:val="24"/>
          <w:lang w:val="en-GB"/>
        </w:rPr>
        <w:drawing>
          <wp:anchor distT="0" distB="0" distL="114300" distR="114300" simplePos="0" relativeHeight="251669504" behindDoc="1" locked="0" layoutInCell="1" allowOverlap="1" wp14:anchorId="6389FFB3" wp14:editId="3F8C8317">
            <wp:simplePos x="0" y="0"/>
            <wp:positionH relativeFrom="column">
              <wp:posOffset>-50800</wp:posOffset>
            </wp:positionH>
            <wp:positionV relativeFrom="paragraph">
              <wp:posOffset>698500</wp:posOffset>
            </wp:positionV>
            <wp:extent cx="5486400" cy="3365500"/>
            <wp:effectExtent l="19050" t="19050" r="19050" b="25400"/>
            <wp:wrapTight wrapText="bothSides">
              <wp:wrapPolygon edited="0">
                <wp:start x="-75" y="-122"/>
                <wp:lineTo x="-75" y="21641"/>
                <wp:lineTo x="21600" y="21641"/>
                <wp:lineTo x="21600" y="-122"/>
                <wp:lineTo x="-75" y="-122"/>
              </wp:wrapPolygon>
            </wp:wrapTight>
            <wp:docPr id="801335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335679" name=""/>
                    <pic:cNvPicPr/>
                  </pic:nvPicPr>
                  <pic:blipFill rotWithShape="1">
                    <a:blip r:embed="rId48"/>
                    <a:srcRect t="5978" b="3501"/>
                    <a:stretch>
                      <a:fillRect/>
                    </a:stretch>
                  </pic:blipFill>
                  <pic:spPr bwMode="auto">
                    <a:xfrm>
                      <a:off x="0" y="0"/>
                      <a:ext cx="5486400" cy="3365500"/>
                    </a:xfrm>
                    <a:prstGeom prst="rect">
                      <a:avLst/>
                    </a:prstGeom>
                    <a:ln>
                      <a:solidFill>
                        <a:schemeClr val="accent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31E7A" w:rsidRPr="00404623">
        <w:rPr>
          <w:rFonts w:ascii="Seaford" w:hAnsi="Seaford"/>
          <w:sz w:val="24"/>
          <w:szCs w:val="24"/>
          <w:lang w:val="en-GB"/>
        </w:rPr>
        <w:t xml:space="preserve">It is another </w:t>
      </w:r>
      <w:hyperlink r:id="rId49" w:history="1">
        <w:r w:rsidR="007D2CC1" w:rsidRPr="00404623">
          <w:rPr>
            <w:rStyle w:val="Hyperlink"/>
            <w:rFonts w:ascii="Seaford" w:hAnsi="Seaford"/>
            <w:sz w:val="24"/>
            <w:szCs w:val="24"/>
            <w:lang w:val="en-GB"/>
          </w:rPr>
          <w:t>person-centred</w:t>
        </w:r>
        <w:r w:rsidR="00131E7A" w:rsidRPr="00404623">
          <w:rPr>
            <w:rStyle w:val="Hyperlink"/>
            <w:rFonts w:ascii="Seaford" w:hAnsi="Seaford"/>
            <w:sz w:val="24"/>
            <w:szCs w:val="24"/>
            <w:lang w:val="en-GB"/>
          </w:rPr>
          <w:t xml:space="preserve"> visual tool</w:t>
        </w:r>
      </w:hyperlink>
      <w:r w:rsidR="00131E7A" w:rsidRPr="00404623">
        <w:rPr>
          <w:rFonts w:ascii="Seaford" w:hAnsi="Seaford"/>
          <w:sz w:val="24"/>
          <w:szCs w:val="24"/>
          <w:lang w:val="en-GB"/>
        </w:rPr>
        <w:t xml:space="preserve"> where p</w:t>
      </w:r>
      <w:r w:rsidR="00533966" w:rsidRPr="00404623">
        <w:rPr>
          <w:rFonts w:ascii="Seaford" w:hAnsi="Seaford"/>
          <w:sz w:val="24"/>
          <w:szCs w:val="24"/>
          <w:lang w:val="en-GB"/>
        </w:rPr>
        <w:t>upils create visual representations of what a welcoming, inclusive school looks like to them.</w:t>
      </w:r>
      <w:r w:rsidR="00014774" w:rsidRPr="00404623">
        <w:rPr>
          <w:rFonts w:ascii="Seaford" w:hAnsi="Seaford"/>
          <w:sz w:val="24"/>
          <w:szCs w:val="24"/>
          <w:lang w:val="en-GB"/>
        </w:rPr>
        <w:t xml:space="preserve"> It </w:t>
      </w:r>
      <w:r w:rsidRPr="00404623">
        <w:rPr>
          <w:rFonts w:ascii="Seaford" w:hAnsi="Seaford"/>
          <w:sz w:val="24"/>
          <w:szCs w:val="24"/>
          <w:lang w:val="en-GB"/>
        </w:rPr>
        <w:t>h</w:t>
      </w:r>
      <w:r w:rsidR="00014774" w:rsidRPr="00404623">
        <w:rPr>
          <w:rFonts w:ascii="Seaford" w:hAnsi="Seaford"/>
          <w:sz w:val="24"/>
          <w:szCs w:val="24"/>
          <w:lang w:val="en-GB"/>
        </w:rPr>
        <w:t xml:space="preserve">ighlights what matters most to pupils and informs school culture and environment planning. </w:t>
      </w:r>
    </w:p>
    <w:p w14:paraId="2DAA40E8" w14:textId="77777777" w:rsidR="00814501" w:rsidRPr="00404623" w:rsidRDefault="00814501" w:rsidP="006D1423">
      <w:pPr>
        <w:pStyle w:val="Heading3"/>
        <w:rPr>
          <w:rFonts w:ascii="Seaford" w:hAnsi="Seaford"/>
          <w:sz w:val="24"/>
          <w:szCs w:val="24"/>
          <w:lang w:val="en-GB"/>
        </w:rPr>
      </w:pPr>
    </w:p>
    <w:p w14:paraId="5D9C9E9F" w14:textId="743B9AB0" w:rsidR="00533966" w:rsidRPr="00404623" w:rsidRDefault="00533966" w:rsidP="006D1423">
      <w:pPr>
        <w:pStyle w:val="Heading3"/>
        <w:rPr>
          <w:rFonts w:ascii="Seaford" w:hAnsi="Seaford"/>
          <w:sz w:val="24"/>
          <w:szCs w:val="24"/>
          <w:lang w:val="en-GB"/>
        </w:rPr>
      </w:pPr>
      <w:bookmarkStart w:id="30" w:name="_Toc239670491"/>
      <w:r w:rsidRPr="00404623">
        <w:rPr>
          <w:rFonts w:ascii="Seaford" w:hAnsi="Seaford"/>
          <w:sz w:val="24"/>
          <w:szCs w:val="24"/>
          <w:lang w:val="en-GB"/>
        </w:rPr>
        <w:t>Using School Wellbeing Cards</w:t>
      </w:r>
      <w:bookmarkEnd w:id="30"/>
    </w:p>
    <w:p w14:paraId="5C7E16E5" w14:textId="268A3BFB" w:rsidR="00533966" w:rsidRPr="00404623" w:rsidRDefault="00A17099" w:rsidP="006D1423">
      <w:pPr>
        <w:rPr>
          <w:rFonts w:ascii="Seaford" w:hAnsi="Seaford"/>
          <w:sz w:val="24"/>
          <w:szCs w:val="24"/>
          <w:lang w:val="en-GB"/>
        </w:rPr>
      </w:pPr>
      <w:r w:rsidRPr="00404623">
        <w:rPr>
          <w:rFonts w:ascii="Seaford" w:hAnsi="Seaford"/>
          <w:noProof/>
          <w:sz w:val="24"/>
          <w:szCs w:val="24"/>
          <w:lang w:val="en-GB"/>
        </w:rPr>
        <w:drawing>
          <wp:anchor distT="0" distB="0" distL="114300" distR="114300" simplePos="0" relativeHeight="251675648" behindDoc="1" locked="0" layoutInCell="1" allowOverlap="1" wp14:anchorId="6DB1B877" wp14:editId="67EE6F5D">
            <wp:simplePos x="0" y="0"/>
            <wp:positionH relativeFrom="column">
              <wp:posOffset>-323850</wp:posOffset>
            </wp:positionH>
            <wp:positionV relativeFrom="paragraph">
              <wp:posOffset>170815</wp:posOffset>
            </wp:positionV>
            <wp:extent cx="1342390" cy="1092200"/>
            <wp:effectExtent l="0" t="0" r="0" b="0"/>
            <wp:wrapTight wrapText="bothSides">
              <wp:wrapPolygon edited="0">
                <wp:start x="0" y="0"/>
                <wp:lineTo x="0" y="21098"/>
                <wp:lineTo x="21150" y="21098"/>
                <wp:lineTo x="21150" y="0"/>
                <wp:lineTo x="0" y="0"/>
              </wp:wrapPolygon>
            </wp:wrapTight>
            <wp:docPr id="864720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20280" name=""/>
                    <pic:cNvPicPr/>
                  </pic:nvPicPr>
                  <pic:blipFill>
                    <a:blip r:embed="rId50"/>
                    <a:stretch>
                      <a:fillRect/>
                    </a:stretch>
                  </pic:blipFill>
                  <pic:spPr>
                    <a:xfrm>
                      <a:off x="0" y="0"/>
                      <a:ext cx="1342390" cy="1092200"/>
                    </a:xfrm>
                    <a:prstGeom prst="rect">
                      <a:avLst/>
                    </a:prstGeom>
                  </pic:spPr>
                </pic:pic>
              </a:graphicData>
            </a:graphic>
            <wp14:sizeRelH relativeFrom="margin">
              <wp14:pctWidth>0</wp14:pctWidth>
            </wp14:sizeRelH>
            <wp14:sizeRelV relativeFrom="margin">
              <wp14:pctHeight>0</wp14:pctHeight>
            </wp14:sizeRelV>
          </wp:anchor>
        </w:drawing>
      </w:r>
      <w:hyperlink r:id="rId51" w:history="1">
        <w:r w:rsidR="00533966" w:rsidRPr="00404623">
          <w:rPr>
            <w:rStyle w:val="Hyperlink"/>
            <w:rFonts w:ascii="Seaford" w:hAnsi="Seaford"/>
            <w:sz w:val="24"/>
            <w:szCs w:val="24"/>
            <w:lang w:val="en-GB"/>
          </w:rPr>
          <w:t>A structured tool</w:t>
        </w:r>
      </w:hyperlink>
      <w:r w:rsidR="00533966" w:rsidRPr="00404623">
        <w:rPr>
          <w:rFonts w:ascii="Seaford" w:hAnsi="Seaford"/>
          <w:sz w:val="24"/>
          <w:szCs w:val="24"/>
          <w:lang w:val="en-GB"/>
        </w:rPr>
        <w:t xml:space="preserve"> to help pupils reflect on their wellbeing and school experience.</w:t>
      </w:r>
    </w:p>
    <w:p w14:paraId="60188427" w14:textId="753861D8" w:rsidR="00533966" w:rsidRPr="00404623" w:rsidRDefault="00533966" w:rsidP="006D1423">
      <w:pPr>
        <w:rPr>
          <w:rFonts w:ascii="Seaford" w:hAnsi="Seaford"/>
          <w:sz w:val="24"/>
          <w:szCs w:val="24"/>
          <w:lang w:val="en-GB"/>
        </w:rPr>
      </w:pPr>
      <w:r w:rsidRPr="00404623">
        <w:rPr>
          <w:rFonts w:ascii="Seaford" w:hAnsi="Seaford"/>
          <w:sz w:val="24"/>
          <w:szCs w:val="24"/>
          <w:lang w:val="en-GB"/>
        </w:rPr>
        <w:t>Supports emotional literacy and gives staff insight into pupil needs and strengths.</w:t>
      </w:r>
    </w:p>
    <w:p w14:paraId="7371F750" w14:textId="77777777" w:rsidR="00A17099" w:rsidRPr="00404623" w:rsidRDefault="00A17099" w:rsidP="00883421">
      <w:pPr>
        <w:rPr>
          <w:rFonts w:ascii="Seaford" w:hAnsi="Seaford"/>
          <w:i/>
          <w:iCs/>
          <w:sz w:val="24"/>
          <w:szCs w:val="24"/>
        </w:rPr>
      </w:pPr>
    </w:p>
    <w:p w14:paraId="6FD9A331" w14:textId="7B407914" w:rsidR="00883421" w:rsidRDefault="00883421" w:rsidP="00883421">
      <w:pPr>
        <w:rPr>
          <w:rFonts w:ascii="Seaford" w:hAnsi="Seaford"/>
          <w:i/>
          <w:iCs/>
          <w:sz w:val="24"/>
          <w:szCs w:val="24"/>
        </w:rPr>
      </w:pPr>
      <w:r w:rsidRPr="00404623">
        <w:rPr>
          <w:rFonts w:ascii="Seaford" w:hAnsi="Seaford"/>
          <w:i/>
          <w:iCs/>
          <w:sz w:val="24"/>
          <w:szCs w:val="24"/>
        </w:rPr>
        <w:t xml:space="preserve">UCL (Professor Riley and colleagues) have created has a </w:t>
      </w:r>
      <w:hyperlink r:id="rId52" w:history="1">
        <w:r w:rsidRPr="00404623">
          <w:rPr>
            <w:rStyle w:val="Hyperlink"/>
            <w:rFonts w:ascii="Seaford" w:hAnsi="Seaford"/>
            <w:i/>
            <w:iCs/>
            <w:sz w:val="24"/>
            <w:szCs w:val="24"/>
          </w:rPr>
          <w:t>website</w:t>
        </w:r>
      </w:hyperlink>
      <w:r w:rsidRPr="00404623">
        <w:rPr>
          <w:rFonts w:ascii="Seaford" w:hAnsi="Seaford"/>
          <w:i/>
          <w:iCs/>
          <w:sz w:val="24"/>
          <w:szCs w:val="24"/>
        </w:rPr>
        <w:t xml:space="preserve"> with resources to help school develop a sense of belonging including videos and booklets. </w:t>
      </w:r>
    </w:p>
    <w:p w14:paraId="3E93A3ED" w14:textId="77777777" w:rsidR="009412C4" w:rsidRPr="0080352B" w:rsidRDefault="009412C4" w:rsidP="009412C4">
      <w:pPr>
        <w:pStyle w:val="Heading2"/>
        <w:rPr>
          <w:lang w:val="en-GB"/>
        </w:rPr>
      </w:pPr>
      <w:bookmarkStart w:id="31" w:name="_Toc239670492"/>
      <w:r w:rsidRPr="0080352B">
        <w:rPr>
          <w:lang w:val="en-GB"/>
        </w:rPr>
        <w:t>Further Resources</w:t>
      </w:r>
      <w:bookmarkEnd w:id="31"/>
    </w:p>
    <w:p w14:paraId="4104940A" w14:textId="77777777" w:rsidR="009412C4" w:rsidRPr="00404623" w:rsidRDefault="009412C4" w:rsidP="009412C4">
      <w:pPr>
        <w:rPr>
          <w:rFonts w:ascii="Seaford" w:hAnsi="Seaford"/>
          <w:sz w:val="24"/>
          <w:szCs w:val="24"/>
          <w:lang w:val="en-GB"/>
        </w:rPr>
      </w:pPr>
      <w:r w:rsidRPr="0080352B">
        <w:rPr>
          <w:rFonts w:ascii="Seaford" w:hAnsi="Seaford"/>
          <w:sz w:val="24"/>
          <w:szCs w:val="24"/>
          <w:lang w:val="en-GB"/>
        </w:rPr>
        <w:t>Schools looking for a shorter introduction to the ideas in this document may wish to access the Belonging Resource Booklet, available on the Learning Partnership website. The booklet provides a practical overview of key concepts and strategies to support implementation.</w:t>
      </w:r>
    </w:p>
    <w:p w14:paraId="7E0BB4CE" w14:textId="4AE83DA0" w:rsidR="00286528" w:rsidRPr="00404623" w:rsidRDefault="00965B2F" w:rsidP="00965B2F">
      <w:pPr>
        <w:pStyle w:val="Heading1"/>
        <w:rPr>
          <w:rFonts w:ascii="Seaford" w:hAnsi="Seaford"/>
          <w:sz w:val="24"/>
          <w:szCs w:val="24"/>
        </w:rPr>
      </w:pPr>
      <w:bookmarkStart w:id="32" w:name="_Toc239670493"/>
      <w:r w:rsidRPr="00404623">
        <w:rPr>
          <w:rFonts w:ascii="Seaford" w:hAnsi="Seaford"/>
          <w:sz w:val="24"/>
          <w:szCs w:val="24"/>
        </w:rPr>
        <w:lastRenderedPageBreak/>
        <w:t>References</w:t>
      </w:r>
      <w:bookmarkEnd w:id="32"/>
    </w:p>
    <w:p w14:paraId="1D28CB93" w14:textId="576F53B7" w:rsidR="007C44AA" w:rsidRPr="00404623" w:rsidRDefault="007C44AA" w:rsidP="007C44AA">
      <w:pPr>
        <w:rPr>
          <w:rFonts w:ascii="Seaford" w:hAnsi="Seaford"/>
        </w:rPr>
      </w:pPr>
      <w:r w:rsidRPr="00404623">
        <w:rPr>
          <w:rFonts w:ascii="Seaford" w:hAnsi="Seaford"/>
        </w:rPr>
        <w:t xml:space="preserve">Abdollahi, A., Panahipour, S., Akhavan Tafti, M., &amp; Allen, K.-A. (2020). Academic hardiness </w:t>
      </w:r>
      <w:proofErr w:type="gramStart"/>
      <w:r w:rsidRPr="00404623">
        <w:rPr>
          <w:rFonts w:ascii="Seaford" w:hAnsi="Seaford"/>
        </w:rPr>
        <w:t>as</w:t>
      </w:r>
      <w:proofErr w:type="gramEnd"/>
      <w:r w:rsidRPr="00404623">
        <w:rPr>
          <w:rFonts w:ascii="Seaford" w:hAnsi="Seaford"/>
        </w:rPr>
        <w:t xml:space="preserve"> a mediator for the relationship between school belonging and academic stress. </w:t>
      </w:r>
      <w:r w:rsidRPr="00404623">
        <w:rPr>
          <w:rFonts w:ascii="Seaford" w:hAnsi="Seaford"/>
          <w:i/>
          <w:iCs/>
        </w:rPr>
        <w:t>Psychology in the Schools, 57</w:t>
      </w:r>
      <w:r w:rsidRPr="00404623">
        <w:rPr>
          <w:rFonts w:ascii="Seaford" w:hAnsi="Seaford"/>
        </w:rPr>
        <w:t xml:space="preserve">(5), 823–832. </w:t>
      </w:r>
    </w:p>
    <w:p w14:paraId="53610CCF" w14:textId="05E7C2E3" w:rsidR="00D05771" w:rsidRPr="00404623" w:rsidRDefault="00D05771" w:rsidP="007C44AA">
      <w:pPr>
        <w:rPr>
          <w:rFonts w:ascii="Seaford" w:hAnsi="Seaford"/>
        </w:rPr>
      </w:pPr>
      <w:r w:rsidRPr="00404623">
        <w:rPr>
          <w:rFonts w:ascii="Seaford" w:hAnsi="Seaford"/>
        </w:rPr>
        <w:t xml:space="preserve">Ainsworth, M. D. S. (1978). The Bowlby Ainsworth </w:t>
      </w:r>
      <w:r w:rsidR="000A40DE" w:rsidRPr="00404623">
        <w:rPr>
          <w:rFonts w:ascii="Seaford" w:hAnsi="Seaford"/>
        </w:rPr>
        <w:t>Attachment Theory</w:t>
      </w:r>
      <w:r w:rsidRPr="00404623">
        <w:rPr>
          <w:rFonts w:ascii="Seaford" w:hAnsi="Seaford"/>
        </w:rPr>
        <w:t>. </w:t>
      </w:r>
      <w:r w:rsidRPr="00404623">
        <w:rPr>
          <w:rFonts w:ascii="Seaford" w:hAnsi="Seaford"/>
          <w:i/>
          <w:iCs/>
        </w:rPr>
        <w:t>Behavioral and brain sciences</w:t>
      </w:r>
      <w:r w:rsidRPr="00404623">
        <w:rPr>
          <w:rFonts w:ascii="Seaford" w:hAnsi="Seaford"/>
        </w:rPr>
        <w:t>, </w:t>
      </w:r>
      <w:r w:rsidRPr="00404623">
        <w:rPr>
          <w:rFonts w:ascii="Seaford" w:hAnsi="Seaford"/>
          <w:i/>
          <w:iCs/>
        </w:rPr>
        <w:t>1</w:t>
      </w:r>
      <w:r w:rsidRPr="00404623">
        <w:rPr>
          <w:rFonts w:ascii="Seaford" w:hAnsi="Seaford"/>
        </w:rPr>
        <w:t xml:space="preserve">(3), 436-438. </w:t>
      </w:r>
    </w:p>
    <w:p w14:paraId="4116832B" w14:textId="6BCE9543" w:rsidR="007C44AA" w:rsidRPr="00404623" w:rsidRDefault="007C44AA" w:rsidP="007C44AA">
      <w:pPr>
        <w:rPr>
          <w:rFonts w:ascii="Seaford" w:hAnsi="Seaford"/>
        </w:rPr>
      </w:pPr>
      <w:r w:rsidRPr="00404623">
        <w:rPr>
          <w:rFonts w:ascii="Seaford" w:hAnsi="Seaford"/>
        </w:rPr>
        <w:t xml:space="preserve">Allen, K.-A., Jamshidi, N., Berger, E., Reupert, A., Wurf, G., &amp; May, F. (2022). Impact of school-based interventions for building </w:t>
      </w:r>
      <w:proofErr w:type="gramStart"/>
      <w:r w:rsidRPr="00404623">
        <w:rPr>
          <w:rFonts w:ascii="Seaford" w:hAnsi="Seaford"/>
        </w:rPr>
        <w:t>school</w:t>
      </w:r>
      <w:proofErr w:type="gramEnd"/>
      <w:r w:rsidRPr="00404623">
        <w:rPr>
          <w:rFonts w:ascii="Seaford" w:hAnsi="Seaford"/>
        </w:rPr>
        <w:t xml:space="preserve"> belonging in adolescence: A systematic review. </w:t>
      </w:r>
      <w:r w:rsidRPr="00404623">
        <w:rPr>
          <w:rFonts w:ascii="Seaford" w:hAnsi="Seaford"/>
          <w:i/>
          <w:iCs/>
        </w:rPr>
        <w:t>Educational Psychology Review, 34</w:t>
      </w:r>
      <w:r w:rsidRPr="00404623">
        <w:rPr>
          <w:rFonts w:ascii="Seaford" w:hAnsi="Seaford"/>
        </w:rPr>
        <w:t>(1), 229–257.</w:t>
      </w:r>
    </w:p>
    <w:p w14:paraId="466FA5FA" w14:textId="71B2A2FB" w:rsidR="007C44AA" w:rsidRPr="00404623" w:rsidRDefault="007C44AA" w:rsidP="007C44AA">
      <w:pPr>
        <w:rPr>
          <w:rFonts w:ascii="Seaford" w:hAnsi="Seaford"/>
        </w:rPr>
      </w:pPr>
      <w:r w:rsidRPr="00404623">
        <w:rPr>
          <w:rFonts w:ascii="Seaford" w:hAnsi="Seaford"/>
        </w:rPr>
        <w:t xml:space="preserve">Allen, K.-A., Kern, M. L., Vella-Brodrick, D., Hattie, J., &amp; Waters, L. (2018). What schools need to know about fostering school belonging: A meta-analysis. </w:t>
      </w:r>
      <w:r w:rsidRPr="00404623">
        <w:rPr>
          <w:rFonts w:ascii="Seaford" w:hAnsi="Seaford"/>
          <w:i/>
          <w:iCs/>
        </w:rPr>
        <w:t>Educational Psychology Review, 30</w:t>
      </w:r>
      <w:r w:rsidRPr="00404623">
        <w:rPr>
          <w:rFonts w:ascii="Seaford" w:hAnsi="Seaford"/>
        </w:rPr>
        <w:t>(1), 1–34.</w:t>
      </w:r>
    </w:p>
    <w:p w14:paraId="2A226EB5" w14:textId="49A3B210" w:rsidR="007C44AA" w:rsidRPr="00404623" w:rsidRDefault="007C44AA" w:rsidP="007C44AA">
      <w:pPr>
        <w:rPr>
          <w:rFonts w:ascii="Seaford" w:hAnsi="Seaford"/>
        </w:rPr>
      </w:pPr>
      <w:r w:rsidRPr="00404623">
        <w:rPr>
          <w:rFonts w:ascii="Seaford" w:hAnsi="Seaford"/>
        </w:rPr>
        <w:t xml:space="preserve">Allen, K.-A., Vella-Brodrick, D., &amp; Waters, L. (2016). Fostering school belonging in secondary schools using a socio-ecological framework. </w:t>
      </w:r>
      <w:r w:rsidRPr="00404623">
        <w:rPr>
          <w:rFonts w:ascii="Seaford" w:hAnsi="Seaford"/>
          <w:i/>
          <w:iCs/>
        </w:rPr>
        <w:t>Educational and Developmental Psychologist, 33</w:t>
      </w:r>
      <w:r w:rsidRPr="00404623">
        <w:rPr>
          <w:rFonts w:ascii="Seaford" w:hAnsi="Seaford"/>
        </w:rPr>
        <w:t xml:space="preserve">(1), 97–121. </w:t>
      </w:r>
    </w:p>
    <w:p w14:paraId="39F65B7D" w14:textId="40494C25" w:rsidR="00D33557" w:rsidRPr="00404623" w:rsidRDefault="00D33557" w:rsidP="007C44AA">
      <w:pPr>
        <w:rPr>
          <w:rFonts w:ascii="Seaford" w:hAnsi="Seaford"/>
        </w:rPr>
      </w:pPr>
      <w:r w:rsidRPr="00404623">
        <w:rPr>
          <w:rFonts w:ascii="Seaford" w:hAnsi="Seaford"/>
        </w:rPr>
        <w:t xml:space="preserve">Ansari, A., Kadir, L., Plasman, J., &amp; Purtell, K. M. (2025). Rebuilding connections post-COVID: The importance of school belonging for addressing absenteeism. Crane Center for Early Childhood Research and Policy at The Ohio State University. </w:t>
      </w:r>
      <w:hyperlink r:id="rId53" w:history="1">
        <w:r w:rsidRPr="00404623">
          <w:rPr>
            <w:rStyle w:val="Hyperlink"/>
            <w:rFonts w:ascii="Seaford" w:hAnsi="Seaford"/>
          </w:rPr>
          <w:t>https://crane. osu. edu/ourwork/rebuilding-connections-post-covid-the-importance-of-school-belonging-foraddressing-absenteeism.</w:t>
        </w:r>
      </w:hyperlink>
    </w:p>
    <w:p w14:paraId="757C5E53" w14:textId="07DD4AA2" w:rsidR="007C44AA" w:rsidRPr="00404623" w:rsidRDefault="007C44AA" w:rsidP="007C44AA">
      <w:pPr>
        <w:rPr>
          <w:rFonts w:ascii="Seaford" w:hAnsi="Seaford"/>
        </w:rPr>
      </w:pPr>
      <w:r w:rsidRPr="00404623">
        <w:rPr>
          <w:rFonts w:ascii="Seaford" w:hAnsi="Seaford"/>
        </w:rPr>
        <w:t xml:space="preserve">Arslan, G. (2021). School belongingness, well-being, and mental health among adolescents: Exploring the role of loneliness. </w:t>
      </w:r>
      <w:r w:rsidRPr="00404623">
        <w:rPr>
          <w:rFonts w:ascii="Seaford" w:hAnsi="Seaford"/>
          <w:i/>
          <w:iCs/>
        </w:rPr>
        <w:t>Australian Journal of Psychology, 73</w:t>
      </w:r>
      <w:r w:rsidRPr="00404623">
        <w:rPr>
          <w:rFonts w:ascii="Seaford" w:hAnsi="Seaford"/>
        </w:rPr>
        <w:t xml:space="preserve">(1), 70–80. </w:t>
      </w:r>
    </w:p>
    <w:p w14:paraId="3F3B91DC" w14:textId="5057A692" w:rsidR="007C44AA" w:rsidRPr="00404623" w:rsidRDefault="007C44AA" w:rsidP="007C44AA">
      <w:pPr>
        <w:rPr>
          <w:rFonts w:ascii="Seaford" w:hAnsi="Seaford"/>
        </w:rPr>
      </w:pPr>
      <w:r w:rsidRPr="00404623">
        <w:rPr>
          <w:rFonts w:ascii="Seaford" w:hAnsi="Seaford"/>
        </w:rPr>
        <w:t xml:space="preserve">Arslan, G., Allen, K.-A., &amp; Ryan, T. (2020). Exploring the impacts of school belonging on youth wellbeing and mental health among Turkish adolescents. </w:t>
      </w:r>
      <w:r w:rsidRPr="00404623">
        <w:rPr>
          <w:rFonts w:ascii="Seaford" w:hAnsi="Seaford"/>
          <w:i/>
          <w:iCs/>
        </w:rPr>
        <w:t>Child Indicators Research, 13</w:t>
      </w:r>
      <w:r w:rsidRPr="00404623">
        <w:rPr>
          <w:rFonts w:ascii="Seaford" w:hAnsi="Seaford"/>
        </w:rPr>
        <w:t xml:space="preserve">(5), 1619–1635. </w:t>
      </w:r>
    </w:p>
    <w:p w14:paraId="5D11E83B" w14:textId="77777777" w:rsidR="00906579" w:rsidRDefault="00906579" w:rsidP="00906579">
      <w:pPr>
        <w:rPr>
          <w:rFonts w:ascii="Seaford" w:hAnsi="Seaford"/>
        </w:rPr>
      </w:pPr>
      <w:r w:rsidRPr="00404623">
        <w:rPr>
          <w:rFonts w:ascii="Seaford" w:hAnsi="Seaford"/>
        </w:rPr>
        <w:t xml:space="preserve">Brooms, D. R. (2019). “I was just trying to make it”: Examining urban Black males’ sense of belonging, schooling experiences, and academic success. </w:t>
      </w:r>
      <w:r w:rsidRPr="00404623">
        <w:rPr>
          <w:rFonts w:ascii="Seaford" w:hAnsi="Seaford"/>
          <w:i/>
          <w:iCs/>
        </w:rPr>
        <w:t>Urban Education, 54</w:t>
      </w:r>
      <w:r w:rsidRPr="00404623">
        <w:rPr>
          <w:rFonts w:ascii="Seaford" w:hAnsi="Seaford"/>
        </w:rPr>
        <w:t>(6), 804-830.</w:t>
      </w:r>
    </w:p>
    <w:p w14:paraId="73FBFEF4" w14:textId="77777777" w:rsidR="00143315" w:rsidRPr="00143315" w:rsidRDefault="00143315" w:rsidP="00143315">
      <w:pPr>
        <w:rPr>
          <w:rFonts w:ascii="Seaford" w:hAnsi="Seaford"/>
        </w:rPr>
      </w:pPr>
      <w:r w:rsidRPr="00143315">
        <w:rPr>
          <w:rFonts w:ascii="Seaford" w:hAnsi="Seaford"/>
        </w:rPr>
        <w:t xml:space="preserve">Burnham, J. (2012). Developments in Social GRRRAAACCEEESSS: visible–invisible </w:t>
      </w:r>
    </w:p>
    <w:p w14:paraId="2570C516" w14:textId="77777777" w:rsidR="00143315" w:rsidRPr="00143315" w:rsidRDefault="00143315" w:rsidP="00143315">
      <w:pPr>
        <w:rPr>
          <w:rFonts w:ascii="Seaford" w:hAnsi="Seaford"/>
        </w:rPr>
      </w:pPr>
      <w:r w:rsidRPr="00143315">
        <w:rPr>
          <w:rFonts w:ascii="Seaford" w:hAnsi="Seaford"/>
        </w:rPr>
        <w:t xml:space="preserve">and voiced–unvoiced 1. In Culture and reflexivity in systemic psychotherapy (pp. </w:t>
      </w:r>
    </w:p>
    <w:p w14:paraId="2F9D3518" w14:textId="7245ACF0" w:rsidR="00143315" w:rsidRPr="00404623" w:rsidRDefault="00143315" w:rsidP="00143315">
      <w:pPr>
        <w:rPr>
          <w:rFonts w:ascii="Seaford" w:hAnsi="Seaford"/>
        </w:rPr>
      </w:pPr>
      <w:r w:rsidRPr="00143315">
        <w:rPr>
          <w:rFonts w:ascii="Seaford" w:hAnsi="Seaford"/>
        </w:rPr>
        <w:t>139-160). Routledge.</w:t>
      </w:r>
    </w:p>
    <w:p w14:paraId="14995918" w14:textId="2EF645F6" w:rsidR="00BD755C" w:rsidRPr="00404623" w:rsidRDefault="00BD755C" w:rsidP="00906579">
      <w:pPr>
        <w:rPr>
          <w:rFonts w:ascii="Seaford" w:hAnsi="Seaford"/>
        </w:rPr>
      </w:pPr>
      <w:r w:rsidRPr="00404623">
        <w:rPr>
          <w:rFonts w:ascii="Seaford" w:hAnsi="Seaford"/>
        </w:rPr>
        <w:lastRenderedPageBreak/>
        <w:t>Castro-Kemp, S., Palikara, O., Gaona, C., Eirinaki, V., &amp; Furlong, M. J. (2020). The role of psychological sense of school membership and postcode as predictors of profiles of socio-emotional health in primary school children in England. </w:t>
      </w:r>
      <w:r w:rsidRPr="00404623">
        <w:rPr>
          <w:rFonts w:ascii="Seaford" w:hAnsi="Seaford"/>
          <w:i/>
          <w:iCs/>
        </w:rPr>
        <w:t>School Mental Health</w:t>
      </w:r>
      <w:r w:rsidRPr="00404623">
        <w:rPr>
          <w:rFonts w:ascii="Seaford" w:hAnsi="Seaford"/>
        </w:rPr>
        <w:t>, </w:t>
      </w:r>
      <w:r w:rsidRPr="00404623">
        <w:rPr>
          <w:rFonts w:ascii="Seaford" w:hAnsi="Seaford"/>
          <w:i/>
          <w:iCs/>
        </w:rPr>
        <w:t>12</w:t>
      </w:r>
      <w:r w:rsidRPr="00404623">
        <w:rPr>
          <w:rFonts w:ascii="Seaford" w:hAnsi="Seaford"/>
        </w:rPr>
        <w:t>(2), 284-295.</w:t>
      </w:r>
    </w:p>
    <w:p w14:paraId="1605D7C2" w14:textId="18D2F73F" w:rsidR="007C44AA" w:rsidRPr="00404623" w:rsidRDefault="007C44AA" w:rsidP="007C44AA">
      <w:pPr>
        <w:rPr>
          <w:rFonts w:ascii="Seaford" w:hAnsi="Seaford"/>
        </w:rPr>
      </w:pPr>
      <w:r w:rsidRPr="00404623">
        <w:rPr>
          <w:rFonts w:ascii="Seaford" w:hAnsi="Seaford"/>
        </w:rPr>
        <w:t xml:space="preserve">Cooper, P. (2008). Nurturing attachment to school: Contemporary perspectives on social, emotional and behavioural difficulties. </w:t>
      </w:r>
      <w:r w:rsidRPr="00404623">
        <w:rPr>
          <w:rFonts w:ascii="Seaford" w:hAnsi="Seaford"/>
          <w:i/>
          <w:iCs/>
        </w:rPr>
        <w:t>Pastoral Care in Education, 26</w:t>
      </w:r>
      <w:r w:rsidRPr="00404623">
        <w:rPr>
          <w:rFonts w:ascii="Seaford" w:hAnsi="Seaford"/>
        </w:rPr>
        <w:t xml:space="preserve">(1), 13–22. </w:t>
      </w:r>
    </w:p>
    <w:p w14:paraId="2CF702B5" w14:textId="77777777" w:rsidR="00221AD1" w:rsidRPr="00404623" w:rsidRDefault="00221AD1" w:rsidP="007C44AA">
      <w:pPr>
        <w:rPr>
          <w:rFonts w:ascii="Seaford" w:hAnsi="Seaford"/>
        </w:rPr>
      </w:pPr>
      <w:r w:rsidRPr="00404623">
        <w:rPr>
          <w:rFonts w:ascii="Seaford" w:hAnsi="Seaford"/>
        </w:rPr>
        <w:t>Gentle-Genitty, C. S., Keppens, G., &amp; Kearney, C. A. (2025). Perception of school social bonding (PSSB) instrument: Structural and concurrent validity. </w:t>
      </w:r>
      <w:r w:rsidRPr="00404623">
        <w:rPr>
          <w:rFonts w:ascii="Seaford" w:hAnsi="Seaford"/>
          <w:i/>
          <w:iCs/>
        </w:rPr>
        <w:t>Contemporary School Psychology</w:t>
      </w:r>
      <w:r w:rsidRPr="00404623">
        <w:rPr>
          <w:rFonts w:ascii="Seaford" w:hAnsi="Seaford"/>
        </w:rPr>
        <w:t>, </w:t>
      </w:r>
      <w:r w:rsidRPr="00404623">
        <w:rPr>
          <w:rFonts w:ascii="Seaford" w:hAnsi="Seaford"/>
          <w:i/>
          <w:iCs/>
        </w:rPr>
        <w:t>29</w:t>
      </w:r>
      <w:r w:rsidRPr="00404623">
        <w:rPr>
          <w:rFonts w:ascii="Seaford" w:hAnsi="Seaford"/>
        </w:rPr>
        <w:t>(1), 213-220.</w:t>
      </w:r>
    </w:p>
    <w:p w14:paraId="7AF05328" w14:textId="35021BF3" w:rsidR="007C44AA" w:rsidRPr="00404623" w:rsidRDefault="007C44AA" w:rsidP="007C44AA">
      <w:pPr>
        <w:rPr>
          <w:rFonts w:ascii="Seaford" w:hAnsi="Seaford"/>
        </w:rPr>
      </w:pPr>
      <w:r w:rsidRPr="00404623">
        <w:rPr>
          <w:rFonts w:ascii="Seaford" w:hAnsi="Seaford"/>
        </w:rPr>
        <w:t xml:space="preserve">Goodenow, C. (1993). The psychological sense of school membership among adolescents: Scale development and educational correlates. </w:t>
      </w:r>
      <w:r w:rsidRPr="00404623">
        <w:rPr>
          <w:rFonts w:ascii="Seaford" w:hAnsi="Seaford"/>
          <w:i/>
          <w:iCs/>
        </w:rPr>
        <w:t>Psychology in the Schools, 30</w:t>
      </w:r>
      <w:r w:rsidRPr="00404623">
        <w:rPr>
          <w:rFonts w:ascii="Seaford" w:hAnsi="Seaford"/>
        </w:rPr>
        <w:t xml:space="preserve">(1), 79–90. </w:t>
      </w:r>
    </w:p>
    <w:p w14:paraId="20E9EF6F" w14:textId="3FEEA578" w:rsidR="007C44AA" w:rsidRPr="00404623" w:rsidRDefault="00112331" w:rsidP="007C44AA">
      <w:pPr>
        <w:rPr>
          <w:rFonts w:ascii="Seaford" w:hAnsi="Seaford"/>
        </w:rPr>
      </w:pPr>
      <w:r w:rsidRPr="00404623">
        <w:rPr>
          <w:rFonts w:ascii="Seaford" w:hAnsi="Seaford"/>
        </w:rPr>
        <w:t xml:space="preserve">Kearney, C. A., Heyne, D., &amp; Gonzálvez, C. (2020). School attendance and problematic school absenteeism in youth. </w:t>
      </w:r>
      <w:r w:rsidRPr="00404623">
        <w:rPr>
          <w:rFonts w:ascii="Seaford" w:hAnsi="Seaford"/>
          <w:i/>
          <w:iCs/>
        </w:rPr>
        <w:t>Frontiers in psychology, 11</w:t>
      </w:r>
      <w:r w:rsidRPr="00404623">
        <w:rPr>
          <w:rFonts w:ascii="Seaford" w:hAnsi="Seaford"/>
        </w:rPr>
        <w:t>, 602242.</w:t>
      </w:r>
      <w:r w:rsidR="003E5F31" w:rsidRPr="00404623">
        <w:rPr>
          <w:rFonts w:ascii="Seaford" w:hAnsi="Seaford"/>
        </w:rPr>
        <w:t xml:space="preserve"> </w:t>
      </w:r>
      <w:hyperlink r:id="rId54" w:history="1">
        <w:r w:rsidR="003E5F31" w:rsidRPr="00404623">
          <w:rPr>
            <w:rStyle w:val="Hyperlink"/>
            <w:rFonts w:ascii="Seaford" w:hAnsi="Seaford"/>
          </w:rPr>
          <w:t>Frontiers | Editorial: School Attendance and Problematic School Absenteeism in Youth</w:t>
        </w:r>
      </w:hyperlink>
    </w:p>
    <w:p w14:paraId="49932700" w14:textId="478C8AB9" w:rsidR="007C44AA" w:rsidRPr="00404623" w:rsidRDefault="007C44AA" w:rsidP="007C44AA">
      <w:pPr>
        <w:rPr>
          <w:rFonts w:ascii="Seaford" w:hAnsi="Seaford"/>
        </w:rPr>
      </w:pPr>
      <w:r w:rsidRPr="00404623">
        <w:rPr>
          <w:rFonts w:ascii="Seaford" w:hAnsi="Seaford"/>
        </w:rPr>
        <w:t xml:space="preserve">Korpershoek, H., Canrinus, E. T., Fokkens-Bruinsma, M., &amp; de Boer, H. (2020). The relationships between school belonging and students’ motivational, social-emotional, behavioural, and academic outcomes in secondary education: A meta-analytic review. </w:t>
      </w:r>
      <w:r w:rsidRPr="00404623">
        <w:rPr>
          <w:rFonts w:ascii="Seaford" w:hAnsi="Seaford"/>
          <w:i/>
          <w:iCs/>
        </w:rPr>
        <w:t>Research Papers in Education, 35</w:t>
      </w:r>
      <w:r w:rsidRPr="00404623">
        <w:rPr>
          <w:rFonts w:ascii="Seaford" w:hAnsi="Seaford"/>
        </w:rPr>
        <w:t xml:space="preserve">(6), 641–680. </w:t>
      </w:r>
      <w:r w:rsidR="001F272C" w:rsidRPr="00404623">
        <w:rPr>
          <w:rFonts w:ascii="Seaford" w:hAnsi="Seaford"/>
        </w:rPr>
        <w:t xml:space="preserve"> </w:t>
      </w:r>
    </w:p>
    <w:p w14:paraId="5AD80174" w14:textId="77777777" w:rsidR="007C44AA" w:rsidRPr="00404623" w:rsidRDefault="007C44AA" w:rsidP="007C44AA">
      <w:pPr>
        <w:rPr>
          <w:rFonts w:ascii="Seaford" w:hAnsi="Seaford"/>
        </w:rPr>
      </w:pPr>
      <w:r w:rsidRPr="00404623">
        <w:rPr>
          <w:rFonts w:ascii="Seaford" w:hAnsi="Seaford"/>
        </w:rPr>
        <w:t xml:space="preserve">Maslow, A. H. (1943). A theory of human motivation. </w:t>
      </w:r>
      <w:r w:rsidRPr="00404623">
        <w:rPr>
          <w:rFonts w:ascii="Seaford" w:hAnsi="Seaford"/>
          <w:i/>
          <w:iCs/>
        </w:rPr>
        <w:t>Psychological Review, 50</w:t>
      </w:r>
      <w:r w:rsidRPr="00404623">
        <w:rPr>
          <w:rFonts w:ascii="Seaford" w:hAnsi="Seaford"/>
        </w:rPr>
        <w:t>(4), 370–396.</w:t>
      </w:r>
    </w:p>
    <w:p w14:paraId="7FEEE834" w14:textId="77777777" w:rsidR="007C44AA" w:rsidRPr="00404623" w:rsidRDefault="007C44AA" w:rsidP="007C44AA">
      <w:pPr>
        <w:rPr>
          <w:rFonts w:ascii="Seaford" w:hAnsi="Seaford"/>
        </w:rPr>
      </w:pPr>
      <w:r w:rsidRPr="00404623">
        <w:rPr>
          <w:rFonts w:ascii="Seaford" w:hAnsi="Seaford"/>
        </w:rPr>
        <w:t xml:space="preserve">Riley, K. (2019). Agency and belonging: What transformative actions can schools take to help create a sense of place and belonging? </w:t>
      </w:r>
      <w:r w:rsidRPr="00404623">
        <w:rPr>
          <w:rFonts w:ascii="Seaford" w:hAnsi="Seaford"/>
          <w:i/>
          <w:iCs/>
        </w:rPr>
        <w:t>Educational and Child Psychology, 36</w:t>
      </w:r>
      <w:r w:rsidRPr="00404623">
        <w:rPr>
          <w:rFonts w:ascii="Seaford" w:hAnsi="Seaford"/>
        </w:rPr>
        <w:t>(4), 91–103.</w:t>
      </w:r>
    </w:p>
    <w:p w14:paraId="70E790B5" w14:textId="2265F2DB" w:rsidR="007C44AA" w:rsidRPr="00404623" w:rsidRDefault="005C3907" w:rsidP="007C44AA">
      <w:pPr>
        <w:rPr>
          <w:rFonts w:ascii="Seaford" w:hAnsi="Seaford"/>
        </w:rPr>
      </w:pPr>
      <w:r w:rsidRPr="00404623">
        <w:rPr>
          <w:rFonts w:ascii="Seaford" w:hAnsi="Seaford"/>
        </w:rPr>
        <w:t>Riley, K., Coates, M., &amp; Allen, T. (2020). Place and belonging in school: Why it matters today. </w:t>
      </w:r>
      <w:r w:rsidRPr="00404623">
        <w:rPr>
          <w:rFonts w:ascii="Seaford" w:hAnsi="Seaford"/>
          <w:i/>
          <w:iCs/>
        </w:rPr>
        <w:t>University College London Institute of Education</w:t>
      </w:r>
      <w:r w:rsidRPr="00404623">
        <w:rPr>
          <w:rFonts w:ascii="Seaford" w:hAnsi="Seaford"/>
        </w:rPr>
        <w:t>.</w:t>
      </w:r>
    </w:p>
    <w:p w14:paraId="7420AE21" w14:textId="77777777" w:rsidR="007C44AA" w:rsidRPr="00404623" w:rsidRDefault="007C44AA" w:rsidP="007C44AA">
      <w:pPr>
        <w:rPr>
          <w:rFonts w:ascii="Seaford" w:hAnsi="Seaford"/>
        </w:rPr>
      </w:pPr>
      <w:r w:rsidRPr="00404623">
        <w:rPr>
          <w:rFonts w:ascii="Seaford" w:hAnsi="Seaford"/>
        </w:rPr>
        <w:t xml:space="preserve">Roffey, S., Boyle, C., &amp; Allen, K.-A. (2019). School belonging – Why are our students longing to belong to school? </w:t>
      </w:r>
      <w:r w:rsidRPr="00404623">
        <w:rPr>
          <w:rFonts w:ascii="Seaford" w:hAnsi="Seaford"/>
          <w:i/>
          <w:iCs/>
        </w:rPr>
        <w:t>Educational and Child Psychology, 36</w:t>
      </w:r>
      <w:r w:rsidRPr="00404623">
        <w:rPr>
          <w:rFonts w:ascii="Seaford" w:hAnsi="Seaford"/>
        </w:rPr>
        <w:t>(2), 6–8.</w:t>
      </w:r>
    </w:p>
    <w:p w14:paraId="3B72A83D" w14:textId="77777777" w:rsidR="007C44AA" w:rsidRPr="00404623" w:rsidRDefault="007C44AA" w:rsidP="007C44AA">
      <w:pPr>
        <w:rPr>
          <w:rFonts w:ascii="Seaford" w:hAnsi="Seaford"/>
        </w:rPr>
      </w:pPr>
      <w:r w:rsidRPr="00404623">
        <w:rPr>
          <w:rFonts w:ascii="Seaford" w:hAnsi="Seaford"/>
        </w:rPr>
        <w:t xml:space="preserve">Ruttledge, R. (2022). A whole school </w:t>
      </w:r>
      <w:proofErr w:type="gramStart"/>
      <w:r w:rsidRPr="00404623">
        <w:rPr>
          <w:rFonts w:ascii="Seaford" w:hAnsi="Seaford"/>
        </w:rPr>
        <w:t>approach to</w:t>
      </w:r>
      <w:proofErr w:type="gramEnd"/>
      <w:r w:rsidRPr="00404623">
        <w:rPr>
          <w:rFonts w:ascii="Seaford" w:hAnsi="Seaford"/>
        </w:rPr>
        <w:t xml:space="preserve"> building relationships, promoting positive behaviour and reducing teacher stress in a secondary school. </w:t>
      </w:r>
      <w:r w:rsidRPr="00404623">
        <w:rPr>
          <w:rFonts w:ascii="Seaford" w:hAnsi="Seaford"/>
          <w:i/>
          <w:iCs/>
        </w:rPr>
        <w:t>Educational Psychology in Practice, 38</w:t>
      </w:r>
      <w:r w:rsidRPr="00404623">
        <w:rPr>
          <w:rFonts w:ascii="Seaford" w:hAnsi="Seaford"/>
        </w:rPr>
        <w:t>(3), 237–258.</w:t>
      </w:r>
    </w:p>
    <w:p w14:paraId="0F9EB87A" w14:textId="2E053023" w:rsidR="007C44AA" w:rsidRPr="00404623" w:rsidRDefault="007C44AA" w:rsidP="007C44AA">
      <w:pPr>
        <w:rPr>
          <w:rFonts w:ascii="Seaford" w:hAnsi="Seaford"/>
        </w:rPr>
      </w:pPr>
      <w:r w:rsidRPr="00404623">
        <w:rPr>
          <w:rFonts w:ascii="Seaford" w:hAnsi="Seaford"/>
        </w:rPr>
        <w:t xml:space="preserve">Slaten, C. D., Ferguson, J. K., Allen, K.-A., Vella-Brodrick, D., &amp; Waters, L. (2016). School belonging: A review of the history, current trends, and future directions. </w:t>
      </w:r>
      <w:r w:rsidRPr="00404623">
        <w:rPr>
          <w:rFonts w:ascii="Seaford" w:hAnsi="Seaford"/>
          <w:i/>
          <w:iCs/>
        </w:rPr>
        <w:t>Educational and Developmental Psychologist, 33</w:t>
      </w:r>
      <w:r w:rsidRPr="00404623">
        <w:rPr>
          <w:rFonts w:ascii="Seaford" w:hAnsi="Seaford"/>
        </w:rPr>
        <w:t xml:space="preserve">(1), 1–15. </w:t>
      </w:r>
    </w:p>
    <w:p w14:paraId="5717CF00" w14:textId="77777777" w:rsidR="007C44AA" w:rsidRPr="00404623" w:rsidRDefault="007C44AA" w:rsidP="007C44AA">
      <w:pPr>
        <w:rPr>
          <w:rFonts w:ascii="Seaford" w:hAnsi="Seaford"/>
        </w:rPr>
      </w:pPr>
      <w:r w:rsidRPr="00404623">
        <w:rPr>
          <w:rFonts w:ascii="Seaford" w:hAnsi="Seaford"/>
        </w:rPr>
        <w:lastRenderedPageBreak/>
        <w:t xml:space="preserve">Stark, K., &amp; Daulat, N. (2025). Teacher well-being and teacher retention: Establishing a link. </w:t>
      </w:r>
      <w:r w:rsidRPr="00404623">
        <w:rPr>
          <w:rFonts w:ascii="Seaford" w:hAnsi="Seaford"/>
          <w:i/>
          <w:iCs/>
        </w:rPr>
        <w:t>Social Psychology of Education, 28</w:t>
      </w:r>
      <w:r w:rsidRPr="00404623">
        <w:rPr>
          <w:rFonts w:ascii="Seaford" w:hAnsi="Seaford"/>
        </w:rPr>
        <w:t>(1), 147.</w:t>
      </w:r>
    </w:p>
    <w:p w14:paraId="752BB19B" w14:textId="28961EF5" w:rsidR="007C44AA" w:rsidRPr="00404623" w:rsidRDefault="007C44AA" w:rsidP="007C44AA">
      <w:pPr>
        <w:rPr>
          <w:rFonts w:ascii="Seaford" w:hAnsi="Seaford"/>
        </w:rPr>
      </w:pPr>
      <w:r w:rsidRPr="00404623">
        <w:rPr>
          <w:rFonts w:ascii="Seaford" w:hAnsi="Seaford"/>
        </w:rPr>
        <w:t xml:space="preserve">Steiner, R. J., </w:t>
      </w:r>
      <w:proofErr w:type="spellStart"/>
      <w:r w:rsidRPr="00404623">
        <w:rPr>
          <w:rFonts w:ascii="Seaford" w:hAnsi="Seaford"/>
        </w:rPr>
        <w:t>Sheremenko</w:t>
      </w:r>
      <w:proofErr w:type="spellEnd"/>
      <w:r w:rsidRPr="00404623">
        <w:rPr>
          <w:rFonts w:ascii="Seaford" w:hAnsi="Seaford"/>
        </w:rPr>
        <w:t xml:space="preserve">, G., Lesesne, C., Dittus, P. J., Sieving, R. E., &amp; Ethier, K. A. (2019). Adolescent connectedness and adult health outcomes. </w:t>
      </w:r>
      <w:r w:rsidRPr="00404623">
        <w:rPr>
          <w:rFonts w:ascii="Seaford" w:hAnsi="Seaford"/>
          <w:i/>
          <w:iCs/>
        </w:rPr>
        <w:t>Pediatrics, 144</w:t>
      </w:r>
      <w:r w:rsidRPr="00404623">
        <w:rPr>
          <w:rFonts w:ascii="Seaford" w:hAnsi="Seaford"/>
        </w:rPr>
        <w:t xml:space="preserve">(1). </w:t>
      </w:r>
    </w:p>
    <w:p w14:paraId="6E1116EF" w14:textId="787E150B" w:rsidR="00D365D8" w:rsidRPr="00404623" w:rsidRDefault="007C44AA" w:rsidP="007C44AA">
      <w:pPr>
        <w:rPr>
          <w:rFonts w:ascii="Seaford" w:hAnsi="Seaford"/>
        </w:rPr>
      </w:pPr>
      <w:proofErr w:type="spellStart"/>
      <w:r w:rsidRPr="00404623">
        <w:rPr>
          <w:rFonts w:ascii="Seaford" w:hAnsi="Seaford"/>
        </w:rPr>
        <w:t>Štremfel</w:t>
      </w:r>
      <w:proofErr w:type="spellEnd"/>
      <w:r w:rsidRPr="00404623">
        <w:rPr>
          <w:rFonts w:ascii="Seaford" w:hAnsi="Seaford"/>
        </w:rPr>
        <w:t xml:space="preserve">, U., </w:t>
      </w:r>
      <w:proofErr w:type="spellStart"/>
      <w:r w:rsidRPr="00404623">
        <w:rPr>
          <w:rFonts w:ascii="Seaford" w:hAnsi="Seaford"/>
        </w:rPr>
        <w:t>Šterman</w:t>
      </w:r>
      <w:proofErr w:type="spellEnd"/>
      <w:r w:rsidRPr="00404623">
        <w:rPr>
          <w:rFonts w:ascii="Seaford" w:hAnsi="Seaford"/>
        </w:rPr>
        <w:t xml:space="preserve"> Ivan</w:t>
      </w:r>
      <w:r w:rsidRPr="00404623">
        <w:rPr>
          <w:rFonts w:ascii="Cambria" w:hAnsi="Cambria" w:cs="Cambria"/>
        </w:rPr>
        <w:t>č</w:t>
      </w:r>
      <w:r w:rsidRPr="00404623">
        <w:rPr>
          <w:rFonts w:ascii="Seaford" w:hAnsi="Seaford"/>
        </w:rPr>
        <w:t>i</w:t>
      </w:r>
      <w:r w:rsidRPr="00404623">
        <w:rPr>
          <w:rFonts w:ascii="Cambria" w:hAnsi="Cambria" w:cs="Cambria"/>
        </w:rPr>
        <w:t>č</w:t>
      </w:r>
      <w:r w:rsidRPr="00404623">
        <w:rPr>
          <w:rFonts w:ascii="Seaford" w:hAnsi="Seaford"/>
        </w:rPr>
        <w:t xml:space="preserve">, K., &amp; Peras, I. (2024). Addressing the sense of school belonging among all students? A systematic literature review. </w:t>
      </w:r>
      <w:r w:rsidRPr="00404623">
        <w:rPr>
          <w:rFonts w:ascii="Seaford" w:hAnsi="Seaford"/>
          <w:i/>
          <w:iCs/>
        </w:rPr>
        <w:t>European Journal of Investigation in Health, Psychology and Education, 14</w:t>
      </w:r>
      <w:r w:rsidRPr="00404623">
        <w:rPr>
          <w:rFonts w:ascii="Seaford" w:hAnsi="Seaford"/>
        </w:rPr>
        <w:t xml:space="preserve">(11), 2901–2917. </w:t>
      </w:r>
    </w:p>
    <w:p w14:paraId="0104B494" w14:textId="0FA304A3" w:rsidR="00983E3F" w:rsidRPr="00404623" w:rsidRDefault="00983E3F" w:rsidP="007C44AA">
      <w:pPr>
        <w:rPr>
          <w:rStyle w:val="Hyperlink"/>
          <w:rFonts w:ascii="Seaford" w:hAnsi="Seaford"/>
        </w:rPr>
      </w:pPr>
      <w:r w:rsidRPr="00404623">
        <w:rPr>
          <w:rFonts w:ascii="Seaford" w:hAnsi="Seaford"/>
        </w:rPr>
        <w:t xml:space="preserve">Wagle, R., Dowdy, E., Yang, C., Palikara, O., Castro, S., Nylund-Gibson, K., &amp; Furlong, M. J. (2018). Preliminary investigation of the psychological sense of school membership scale with primary school students in a cross-cultural context. </w:t>
      </w:r>
      <w:r w:rsidRPr="00404623">
        <w:rPr>
          <w:rFonts w:ascii="Seaford" w:hAnsi="Seaford"/>
          <w:i/>
          <w:iCs/>
        </w:rPr>
        <w:t>School Psychology International, 39</w:t>
      </w:r>
      <w:r w:rsidRPr="00404623">
        <w:rPr>
          <w:rFonts w:ascii="Seaford" w:hAnsi="Seaford"/>
        </w:rPr>
        <w:t xml:space="preserve">(6), 568-586. </w:t>
      </w:r>
      <w:r w:rsidR="002E58A3" w:rsidRPr="00404623">
        <w:rPr>
          <w:rFonts w:ascii="Seaford" w:hAnsi="Seaford"/>
        </w:rPr>
        <w:fldChar w:fldCharType="begin"/>
      </w:r>
      <w:r w:rsidR="002E58A3" w:rsidRPr="00404623">
        <w:rPr>
          <w:rFonts w:ascii="Seaford" w:hAnsi="Seaford"/>
        </w:rPr>
        <w:instrText>HYPERLINK "https://journals.sagepub.com/doi/10.1177/0143034318803670"</w:instrText>
      </w:r>
      <w:r w:rsidR="002E58A3" w:rsidRPr="00404623">
        <w:rPr>
          <w:rFonts w:ascii="Seaford" w:hAnsi="Seaford"/>
        </w:rPr>
      </w:r>
      <w:r w:rsidR="002E58A3" w:rsidRPr="00404623">
        <w:rPr>
          <w:rFonts w:ascii="Seaford" w:hAnsi="Seaford"/>
        </w:rPr>
        <w:fldChar w:fldCharType="separate"/>
      </w:r>
      <w:r w:rsidRPr="00404623">
        <w:rPr>
          <w:rStyle w:val="Hyperlink"/>
          <w:rFonts w:ascii="Seaford" w:hAnsi="Seaford"/>
        </w:rPr>
        <w:t>https://doi.org/10.1177/0143034318803670</w:t>
      </w:r>
    </w:p>
    <w:p w14:paraId="2B55E9DD" w14:textId="30686854" w:rsidR="00D365D8" w:rsidRPr="00404623" w:rsidRDefault="002E58A3" w:rsidP="00D365D8">
      <w:pPr>
        <w:rPr>
          <w:rFonts w:ascii="Seaford" w:hAnsi="Seaford"/>
        </w:rPr>
      </w:pPr>
      <w:r w:rsidRPr="00404623">
        <w:rPr>
          <w:rFonts w:ascii="Seaford" w:hAnsi="Seaford"/>
        </w:rPr>
        <w:fldChar w:fldCharType="end"/>
      </w:r>
    </w:p>
    <w:p w14:paraId="15A3A21B" w14:textId="77777777" w:rsidR="00D365D8" w:rsidRPr="00404623" w:rsidRDefault="00D365D8" w:rsidP="00D365D8">
      <w:pPr>
        <w:rPr>
          <w:rFonts w:ascii="Seaford" w:hAnsi="Seaford"/>
        </w:rPr>
      </w:pPr>
    </w:p>
    <w:p w14:paraId="1716F1A2" w14:textId="77777777" w:rsidR="00D365D8" w:rsidRPr="00404623" w:rsidRDefault="00D365D8" w:rsidP="00D365D8">
      <w:pPr>
        <w:rPr>
          <w:rFonts w:ascii="Seaford" w:hAnsi="Seaford"/>
        </w:rPr>
      </w:pPr>
    </w:p>
    <w:p w14:paraId="56B3BABE" w14:textId="77777777" w:rsidR="00D365D8" w:rsidRPr="00404623" w:rsidRDefault="00D365D8" w:rsidP="00D365D8">
      <w:pPr>
        <w:rPr>
          <w:rFonts w:ascii="Seaford" w:hAnsi="Seaford"/>
        </w:rPr>
      </w:pPr>
    </w:p>
    <w:p w14:paraId="28BCB691" w14:textId="77777777" w:rsidR="00D365D8" w:rsidRPr="00404623" w:rsidRDefault="00D365D8" w:rsidP="00D365D8">
      <w:pPr>
        <w:rPr>
          <w:rFonts w:ascii="Seaford" w:hAnsi="Seaford"/>
        </w:rPr>
      </w:pPr>
    </w:p>
    <w:p w14:paraId="2D125317" w14:textId="77777777" w:rsidR="00D365D8" w:rsidRPr="00404623" w:rsidRDefault="00D365D8" w:rsidP="00D365D8">
      <w:pPr>
        <w:rPr>
          <w:rFonts w:ascii="Seaford" w:hAnsi="Seaford"/>
        </w:rPr>
      </w:pPr>
    </w:p>
    <w:p w14:paraId="2F90DDC4" w14:textId="77777777" w:rsidR="00D365D8" w:rsidRPr="00404623" w:rsidRDefault="00D365D8" w:rsidP="00D365D8">
      <w:pPr>
        <w:rPr>
          <w:rFonts w:ascii="Seaford" w:hAnsi="Seaford"/>
        </w:rPr>
      </w:pPr>
    </w:p>
    <w:p w14:paraId="68DC3E8B" w14:textId="77777777" w:rsidR="00D365D8" w:rsidRPr="00404623" w:rsidRDefault="00D365D8" w:rsidP="00D365D8">
      <w:pPr>
        <w:rPr>
          <w:rFonts w:ascii="Seaford" w:hAnsi="Seaford"/>
        </w:rPr>
      </w:pPr>
    </w:p>
    <w:p w14:paraId="2860A775" w14:textId="77777777" w:rsidR="00D365D8" w:rsidRPr="00404623" w:rsidRDefault="00D365D8" w:rsidP="00D365D8">
      <w:pPr>
        <w:rPr>
          <w:rFonts w:ascii="Seaford" w:hAnsi="Seaford"/>
        </w:rPr>
      </w:pPr>
    </w:p>
    <w:p w14:paraId="1CE9BCA8" w14:textId="77777777" w:rsidR="00D365D8" w:rsidRPr="00404623" w:rsidRDefault="00D365D8" w:rsidP="00D365D8">
      <w:pPr>
        <w:rPr>
          <w:rFonts w:ascii="Seaford" w:hAnsi="Seaford"/>
        </w:rPr>
      </w:pPr>
    </w:p>
    <w:p w14:paraId="1FD4D8FE" w14:textId="77777777" w:rsidR="00D365D8" w:rsidRPr="00404623" w:rsidRDefault="00D365D8" w:rsidP="00D365D8">
      <w:pPr>
        <w:rPr>
          <w:rFonts w:ascii="Seaford" w:hAnsi="Seaford"/>
        </w:rPr>
      </w:pPr>
    </w:p>
    <w:p w14:paraId="53973314" w14:textId="77777777" w:rsidR="00D365D8" w:rsidRPr="00404623" w:rsidRDefault="00D365D8" w:rsidP="00D365D8">
      <w:pPr>
        <w:rPr>
          <w:rFonts w:ascii="Seaford" w:hAnsi="Seaford"/>
        </w:rPr>
      </w:pPr>
    </w:p>
    <w:p w14:paraId="1B5DC6DA" w14:textId="77777777" w:rsidR="00D365D8" w:rsidRPr="00404623" w:rsidRDefault="00D365D8" w:rsidP="00D365D8">
      <w:pPr>
        <w:rPr>
          <w:rFonts w:ascii="Seaford" w:hAnsi="Seaford"/>
        </w:rPr>
      </w:pPr>
    </w:p>
    <w:p w14:paraId="297B079D" w14:textId="77777777" w:rsidR="00D365D8" w:rsidRPr="00404623" w:rsidRDefault="00D365D8" w:rsidP="00D365D8">
      <w:pPr>
        <w:rPr>
          <w:rFonts w:ascii="Seaford" w:hAnsi="Seaford"/>
        </w:rPr>
      </w:pPr>
    </w:p>
    <w:p w14:paraId="79F05E7F" w14:textId="77777777" w:rsidR="00D365D8" w:rsidRPr="00404623" w:rsidRDefault="00D365D8" w:rsidP="00D365D8">
      <w:pPr>
        <w:rPr>
          <w:rFonts w:ascii="Seaford" w:hAnsi="Seaford"/>
        </w:rPr>
      </w:pPr>
    </w:p>
    <w:p w14:paraId="09E4AA30" w14:textId="77777777" w:rsidR="00D365D8" w:rsidRPr="00404623" w:rsidRDefault="00D365D8" w:rsidP="00D365D8">
      <w:pPr>
        <w:rPr>
          <w:rFonts w:ascii="Seaford" w:hAnsi="Seaford"/>
        </w:rPr>
      </w:pPr>
    </w:p>
    <w:p w14:paraId="501F5E42" w14:textId="77777777" w:rsidR="00D365D8" w:rsidRPr="00404623" w:rsidRDefault="00D365D8" w:rsidP="00D365D8">
      <w:pPr>
        <w:rPr>
          <w:rFonts w:ascii="Seaford" w:hAnsi="Seaford"/>
        </w:rPr>
      </w:pPr>
    </w:p>
    <w:p w14:paraId="070D68E2" w14:textId="77777777" w:rsidR="00D365D8" w:rsidRPr="00404623" w:rsidRDefault="00D365D8" w:rsidP="00D365D8">
      <w:pPr>
        <w:rPr>
          <w:rFonts w:ascii="Seaford" w:hAnsi="Seaford"/>
        </w:rPr>
      </w:pPr>
    </w:p>
    <w:sectPr w:rsidR="00D365D8" w:rsidRPr="00404623" w:rsidSect="00D13641">
      <w:footerReference w:type="default" r:id="rId55"/>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A8F5" w14:textId="77777777" w:rsidR="006E6CB4" w:rsidRDefault="006E6CB4" w:rsidP="002E52B4">
      <w:pPr>
        <w:spacing w:after="0" w:line="240" w:lineRule="auto"/>
      </w:pPr>
      <w:r>
        <w:separator/>
      </w:r>
    </w:p>
  </w:endnote>
  <w:endnote w:type="continuationSeparator" w:id="0">
    <w:p w14:paraId="1CEDF61C" w14:textId="77777777" w:rsidR="006E6CB4" w:rsidRDefault="006E6CB4" w:rsidP="002E5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aford">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313574"/>
      <w:docPartObj>
        <w:docPartGallery w:val="Page Numbers (Bottom of Page)"/>
        <w:docPartUnique/>
      </w:docPartObj>
    </w:sdtPr>
    <w:sdtEndPr>
      <w:rPr>
        <w:noProof/>
      </w:rPr>
    </w:sdtEndPr>
    <w:sdtContent>
      <w:p w14:paraId="3F9C6B17" w14:textId="3D56E823" w:rsidR="002E52B4" w:rsidRDefault="002E52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5E4DF" w14:textId="77777777" w:rsidR="002E52B4" w:rsidRDefault="002E5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2859" w14:textId="77777777" w:rsidR="006E6CB4" w:rsidRDefault="006E6CB4" w:rsidP="002E52B4">
      <w:pPr>
        <w:spacing w:after="0" w:line="240" w:lineRule="auto"/>
      </w:pPr>
      <w:r>
        <w:separator/>
      </w:r>
    </w:p>
  </w:footnote>
  <w:footnote w:type="continuationSeparator" w:id="0">
    <w:p w14:paraId="3E0F9AA2" w14:textId="77777777" w:rsidR="006E6CB4" w:rsidRDefault="006E6CB4" w:rsidP="002E52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75771D"/>
    <w:multiLevelType w:val="hybridMultilevel"/>
    <w:tmpl w:val="90EAC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F51E7F"/>
    <w:multiLevelType w:val="multilevel"/>
    <w:tmpl w:val="4B4C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B06B03"/>
    <w:multiLevelType w:val="hybridMultilevel"/>
    <w:tmpl w:val="64523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771C95"/>
    <w:multiLevelType w:val="hybridMultilevel"/>
    <w:tmpl w:val="7E982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171650"/>
    <w:multiLevelType w:val="hybridMultilevel"/>
    <w:tmpl w:val="6820F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C856C4"/>
    <w:multiLevelType w:val="multilevel"/>
    <w:tmpl w:val="4BF0C1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99620B"/>
    <w:multiLevelType w:val="hybridMultilevel"/>
    <w:tmpl w:val="90163E5A"/>
    <w:lvl w:ilvl="0" w:tplc="707A676E">
      <w:start w:val="1"/>
      <w:numFmt w:val="bullet"/>
      <w:lvlText w:val=""/>
      <w:lvlJc w:val="left"/>
      <w:pPr>
        <w:ind w:left="720" w:hanging="360"/>
      </w:pPr>
      <w:rPr>
        <w:rFonts w:ascii="Symbol" w:hAnsi="Symbol" w:hint="default"/>
      </w:rPr>
    </w:lvl>
    <w:lvl w:ilvl="1" w:tplc="7FC655EC">
      <w:start w:val="1"/>
      <w:numFmt w:val="bullet"/>
      <w:lvlText w:val="o"/>
      <w:lvlJc w:val="left"/>
      <w:pPr>
        <w:ind w:left="1440" w:hanging="360"/>
      </w:pPr>
      <w:rPr>
        <w:rFonts w:ascii="Courier New" w:hAnsi="Courier New" w:hint="default"/>
      </w:rPr>
    </w:lvl>
    <w:lvl w:ilvl="2" w:tplc="ABDCB9EA">
      <w:start w:val="1"/>
      <w:numFmt w:val="bullet"/>
      <w:lvlText w:val=""/>
      <w:lvlJc w:val="left"/>
      <w:pPr>
        <w:ind w:left="2160" w:hanging="360"/>
      </w:pPr>
      <w:rPr>
        <w:rFonts w:ascii="Wingdings" w:hAnsi="Wingdings" w:hint="default"/>
      </w:rPr>
    </w:lvl>
    <w:lvl w:ilvl="3" w:tplc="F7180A34">
      <w:start w:val="1"/>
      <w:numFmt w:val="bullet"/>
      <w:lvlText w:val=""/>
      <w:lvlJc w:val="left"/>
      <w:pPr>
        <w:ind w:left="2880" w:hanging="360"/>
      </w:pPr>
      <w:rPr>
        <w:rFonts w:ascii="Symbol" w:hAnsi="Symbol" w:hint="default"/>
      </w:rPr>
    </w:lvl>
    <w:lvl w:ilvl="4" w:tplc="C7EE785C">
      <w:start w:val="1"/>
      <w:numFmt w:val="bullet"/>
      <w:lvlText w:val="o"/>
      <w:lvlJc w:val="left"/>
      <w:pPr>
        <w:ind w:left="3600" w:hanging="360"/>
      </w:pPr>
      <w:rPr>
        <w:rFonts w:ascii="Courier New" w:hAnsi="Courier New" w:hint="default"/>
      </w:rPr>
    </w:lvl>
    <w:lvl w:ilvl="5" w:tplc="0158DBE0">
      <w:start w:val="1"/>
      <w:numFmt w:val="bullet"/>
      <w:lvlText w:val=""/>
      <w:lvlJc w:val="left"/>
      <w:pPr>
        <w:ind w:left="4320" w:hanging="360"/>
      </w:pPr>
      <w:rPr>
        <w:rFonts w:ascii="Wingdings" w:hAnsi="Wingdings" w:hint="default"/>
      </w:rPr>
    </w:lvl>
    <w:lvl w:ilvl="6" w:tplc="B2666D0A">
      <w:start w:val="1"/>
      <w:numFmt w:val="bullet"/>
      <w:lvlText w:val=""/>
      <w:lvlJc w:val="left"/>
      <w:pPr>
        <w:ind w:left="5040" w:hanging="360"/>
      </w:pPr>
      <w:rPr>
        <w:rFonts w:ascii="Symbol" w:hAnsi="Symbol" w:hint="default"/>
      </w:rPr>
    </w:lvl>
    <w:lvl w:ilvl="7" w:tplc="7A7A2CE6">
      <w:start w:val="1"/>
      <w:numFmt w:val="bullet"/>
      <w:lvlText w:val="o"/>
      <w:lvlJc w:val="left"/>
      <w:pPr>
        <w:ind w:left="5760" w:hanging="360"/>
      </w:pPr>
      <w:rPr>
        <w:rFonts w:ascii="Courier New" w:hAnsi="Courier New" w:hint="default"/>
      </w:rPr>
    </w:lvl>
    <w:lvl w:ilvl="8" w:tplc="FAF2CCB6">
      <w:start w:val="1"/>
      <w:numFmt w:val="bullet"/>
      <w:lvlText w:val=""/>
      <w:lvlJc w:val="left"/>
      <w:pPr>
        <w:ind w:left="6480" w:hanging="360"/>
      </w:pPr>
      <w:rPr>
        <w:rFonts w:ascii="Wingdings" w:hAnsi="Wingdings" w:hint="default"/>
      </w:rPr>
    </w:lvl>
  </w:abstractNum>
  <w:abstractNum w:abstractNumId="16" w15:restartNumberingAfterBreak="0">
    <w:nsid w:val="270C2E5E"/>
    <w:multiLevelType w:val="hybridMultilevel"/>
    <w:tmpl w:val="1FD23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143A64"/>
    <w:multiLevelType w:val="hybridMultilevel"/>
    <w:tmpl w:val="9F90DF5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2E064886"/>
    <w:multiLevelType w:val="multilevel"/>
    <w:tmpl w:val="2E04BD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1D4B74"/>
    <w:multiLevelType w:val="hybridMultilevel"/>
    <w:tmpl w:val="5D40B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91108D"/>
    <w:multiLevelType w:val="hybridMultilevel"/>
    <w:tmpl w:val="631E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D56455"/>
    <w:multiLevelType w:val="multilevel"/>
    <w:tmpl w:val="A0CAE2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1F09FC"/>
    <w:multiLevelType w:val="multilevel"/>
    <w:tmpl w:val="40AEC5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4C2CCC"/>
    <w:multiLevelType w:val="hybridMultilevel"/>
    <w:tmpl w:val="113CA1FE"/>
    <w:lvl w:ilvl="0" w:tplc="209A1BBC">
      <w:start w:val="1"/>
      <w:numFmt w:val="bullet"/>
      <w:lvlText w:val=""/>
      <w:lvlJc w:val="left"/>
      <w:pPr>
        <w:ind w:left="720" w:hanging="360"/>
      </w:pPr>
      <w:rPr>
        <w:rFonts w:ascii="Symbol" w:hAnsi="Symbol" w:hint="default"/>
      </w:rPr>
    </w:lvl>
    <w:lvl w:ilvl="1" w:tplc="53622ADC">
      <w:start w:val="1"/>
      <w:numFmt w:val="bullet"/>
      <w:lvlText w:val="o"/>
      <w:lvlJc w:val="left"/>
      <w:pPr>
        <w:ind w:left="1440" w:hanging="360"/>
      </w:pPr>
      <w:rPr>
        <w:rFonts w:ascii="Courier New" w:hAnsi="Courier New" w:hint="default"/>
      </w:rPr>
    </w:lvl>
    <w:lvl w:ilvl="2" w:tplc="B198B750">
      <w:start w:val="1"/>
      <w:numFmt w:val="bullet"/>
      <w:lvlText w:val=""/>
      <w:lvlJc w:val="left"/>
      <w:pPr>
        <w:ind w:left="2160" w:hanging="360"/>
      </w:pPr>
      <w:rPr>
        <w:rFonts w:ascii="Wingdings" w:hAnsi="Wingdings" w:hint="default"/>
      </w:rPr>
    </w:lvl>
    <w:lvl w:ilvl="3" w:tplc="2B62C2DC">
      <w:start w:val="1"/>
      <w:numFmt w:val="bullet"/>
      <w:lvlText w:val=""/>
      <w:lvlJc w:val="left"/>
      <w:pPr>
        <w:ind w:left="2880" w:hanging="360"/>
      </w:pPr>
      <w:rPr>
        <w:rFonts w:ascii="Symbol" w:hAnsi="Symbol" w:hint="default"/>
      </w:rPr>
    </w:lvl>
    <w:lvl w:ilvl="4" w:tplc="1828FBB6">
      <w:start w:val="1"/>
      <w:numFmt w:val="bullet"/>
      <w:lvlText w:val="o"/>
      <w:lvlJc w:val="left"/>
      <w:pPr>
        <w:ind w:left="3600" w:hanging="360"/>
      </w:pPr>
      <w:rPr>
        <w:rFonts w:ascii="Courier New" w:hAnsi="Courier New" w:hint="default"/>
      </w:rPr>
    </w:lvl>
    <w:lvl w:ilvl="5" w:tplc="0FEEA436">
      <w:start w:val="1"/>
      <w:numFmt w:val="bullet"/>
      <w:lvlText w:val=""/>
      <w:lvlJc w:val="left"/>
      <w:pPr>
        <w:ind w:left="4320" w:hanging="360"/>
      </w:pPr>
      <w:rPr>
        <w:rFonts w:ascii="Wingdings" w:hAnsi="Wingdings" w:hint="default"/>
      </w:rPr>
    </w:lvl>
    <w:lvl w:ilvl="6" w:tplc="2DEAE8EA">
      <w:start w:val="1"/>
      <w:numFmt w:val="bullet"/>
      <w:lvlText w:val=""/>
      <w:lvlJc w:val="left"/>
      <w:pPr>
        <w:ind w:left="5040" w:hanging="360"/>
      </w:pPr>
      <w:rPr>
        <w:rFonts w:ascii="Symbol" w:hAnsi="Symbol" w:hint="default"/>
      </w:rPr>
    </w:lvl>
    <w:lvl w:ilvl="7" w:tplc="FFB20E4E">
      <w:start w:val="1"/>
      <w:numFmt w:val="bullet"/>
      <w:lvlText w:val="o"/>
      <w:lvlJc w:val="left"/>
      <w:pPr>
        <w:ind w:left="5760" w:hanging="360"/>
      </w:pPr>
      <w:rPr>
        <w:rFonts w:ascii="Courier New" w:hAnsi="Courier New" w:hint="default"/>
      </w:rPr>
    </w:lvl>
    <w:lvl w:ilvl="8" w:tplc="03F2A234">
      <w:start w:val="1"/>
      <w:numFmt w:val="bullet"/>
      <w:lvlText w:val=""/>
      <w:lvlJc w:val="left"/>
      <w:pPr>
        <w:ind w:left="6480" w:hanging="360"/>
      </w:pPr>
      <w:rPr>
        <w:rFonts w:ascii="Wingdings" w:hAnsi="Wingdings" w:hint="default"/>
      </w:rPr>
    </w:lvl>
  </w:abstractNum>
  <w:abstractNum w:abstractNumId="24" w15:restartNumberingAfterBreak="0">
    <w:nsid w:val="3B667978"/>
    <w:multiLevelType w:val="hybridMultilevel"/>
    <w:tmpl w:val="0DA83094"/>
    <w:lvl w:ilvl="0" w:tplc="08D42C4E">
      <w:start w:val="1"/>
      <w:numFmt w:val="decimal"/>
      <w:lvlText w:val="%1."/>
      <w:lvlJc w:val="left"/>
      <w:pPr>
        <w:ind w:left="720" w:hanging="360"/>
      </w:pPr>
      <w:rPr>
        <w:rFonts w:ascii="Segoe UI Emoji" w:hAnsi="Segoe UI Emoji" w:cs="Segoe UI Emoj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D3D7E16"/>
    <w:multiLevelType w:val="hybridMultilevel"/>
    <w:tmpl w:val="D0943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8327FC"/>
    <w:multiLevelType w:val="hybridMultilevel"/>
    <w:tmpl w:val="66C86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FB70EE"/>
    <w:multiLevelType w:val="hybridMultilevel"/>
    <w:tmpl w:val="34F28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167E7B"/>
    <w:multiLevelType w:val="hybridMultilevel"/>
    <w:tmpl w:val="0BE25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205FB8"/>
    <w:multiLevelType w:val="hybridMultilevel"/>
    <w:tmpl w:val="C3B8E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53706B"/>
    <w:multiLevelType w:val="multilevel"/>
    <w:tmpl w:val="F1F4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856A84"/>
    <w:multiLevelType w:val="hybridMultilevel"/>
    <w:tmpl w:val="08C4B7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9501CA"/>
    <w:multiLevelType w:val="multilevel"/>
    <w:tmpl w:val="B56683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936D6C"/>
    <w:multiLevelType w:val="hybridMultilevel"/>
    <w:tmpl w:val="39225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1B01CFC"/>
    <w:multiLevelType w:val="hybridMultilevel"/>
    <w:tmpl w:val="E7CE6C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7C7282"/>
    <w:multiLevelType w:val="hybridMultilevel"/>
    <w:tmpl w:val="6A2211CA"/>
    <w:lvl w:ilvl="0" w:tplc="E7727F36">
      <w:start w:val="1"/>
      <w:numFmt w:val="bullet"/>
      <w:lvlText w:val=""/>
      <w:lvlJc w:val="left"/>
      <w:pPr>
        <w:ind w:left="720" w:hanging="360"/>
      </w:pPr>
      <w:rPr>
        <w:rFonts w:ascii="Symbol" w:hAnsi="Symbol" w:hint="default"/>
      </w:rPr>
    </w:lvl>
    <w:lvl w:ilvl="1" w:tplc="C1BE37D6">
      <w:start w:val="1"/>
      <w:numFmt w:val="bullet"/>
      <w:lvlText w:val="o"/>
      <w:lvlJc w:val="left"/>
      <w:pPr>
        <w:ind w:left="1440" w:hanging="360"/>
      </w:pPr>
      <w:rPr>
        <w:rFonts w:ascii="Courier New" w:hAnsi="Courier New" w:hint="default"/>
      </w:rPr>
    </w:lvl>
    <w:lvl w:ilvl="2" w:tplc="60F29490">
      <w:start w:val="1"/>
      <w:numFmt w:val="bullet"/>
      <w:lvlText w:val=""/>
      <w:lvlJc w:val="left"/>
      <w:pPr>
        <w:ind w:left="2160" w:hanging="360"/>
      </w:pPr>
      <w:rPr>
        <w:rFonts w:ascii="Wingdings" w:hAnsi="Wingdings" w:hint="default"/>
      </w:rPr>
    </w:lvl>
    <w:lvl w:ilvl="3" w:tplc="F10C0ED0">
      <w:start w:val="1"/>
      <w:numFmt w:val="bullet"/>
      <w:lvlText w:val=""/>
      <w:lvlJc w:val="left"/>
      <w:pPr>
        <w:ind w:left="2880" w:hanging="360"/>
      </w:pPr>
      <w:rPr>
        <w:rFonts w:ascii="Symbol" w:hAnsi="Symbol" w:hint="default"/>
      </w:rPr>
    </w:lvl>
    <w:lvl w:ilvl="4" w:tplc="C8C23A92">
      <w:start w:val="1"/>
      <w:numFmt w:val="bullet"/>
      <w:lvlText w:val="o"/>
      <w:lvlJc w:val="left"/>
      <w:pPr>
        <w:ind w:left="3600" w:hanging="360"/>
      </w:pPr>
      <w:rPr>
        <w:rFonts w:ascii="Courier New" w:hAnsi="Courier New" w:hint="default"/>
      </w:rPr>
    </w:lvl>
    <w:lvl w:ilvl="5" w:tplc="587864E2">
      <w:start w:val="1"/>
      <w:numFmt w:val="bullet"/>
      <w:lvlText w:val=""/>
      <w:lvlJc w:val="left"/>
      <w:pPr>
        <w:ind w:left="4320" w:hanging="360"/>
      </w:pPr>
      <w:rPr>
        <w:rFonts w:ascii="Wingdings" w:hAnsi="Wingdings" w:hint="default"/>
      </w:rPr>
    </w:lvl>
    <w:lvl w:ilvl="6" w:tplc="8ADC7B92">
      <w:start w:val="1"/>
      <w:numFmt w:val="bullet"/>
      <w:lvlText w:val=""/>
      <w:lvlJc w:val="left"/>
      <w:pPr>
        <w:ind w:left="5040" w:hanging="360"/>
      </w:pPr>
      <w:rPr>
        <w:rFonts w:ascii="Symbol" w:hAnsi="Symbol" w:hint="default"/>
      </w:rPr>
    </w:lvl>
    <w:lvl w:ilvl="7" w:tplc="1BE8F838">
      <w:start w:val="1"/>
      <w:numFmt w:val="bullet"/>
      <w:lvlText w:val="o"/>
      <w:lvlJc w:val="left"/>
      <w:pPr>
        <w:ind w:left="5760" w:hanging="360"/>
      </w:pPr>
      <w:rPr>
        <w:rFonts w:ascii="Courier New" w:hAnsi="Courier New" w:hint="default"/>
      </w:rPr>
    </w:lvl>
    <w:lvl w:ilvl="8" w:tplc="18AE1BDE">
      <w:start w:val="1"/>
      <w:numFmt w:val="bullet"/>
      <w:lvlText w:val=""/>
      <w:lvlJc w:val="left"/>
      <w:pPr>
        <w:ind w:left="6480" w:hanging="360"/>
      </w:pPr>
      <w:rPr>
        <w:rFonts w:ascii="Wingdings" w:hAnsi="Wingdings" w:hint="default"/>
      </w:rPr>
    </w:lvl>
  </w:abstractNum>
  <w:abstractNum w:abstractNumId="36" w15:restartNumberingAfterBreak="0">
    <w:nsid w:val="55F67B21"/>
    <w:multiLevelType w:val="multilevel"/>
    <w:tmpl w:val="40AEC54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4E3FCA"/>
    <w:multiLevelType w:val="hybridMultilevel"/>
    <w:tmpl w:val="B532E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374367"/>
    <w:multiLevelType w:val="hybridMultilevel"/>
    <w:tmpl w:val="F78A1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4907E3"/>
    <w:multiLevelType w:val="hybridMultilevel"/>
    <w:tmpl w:val="6C14A252"/>
    <w:lvl w:ilvl="0" w:tplc="88327AB2">
      <w:start w:val="1"/>
      <w:numFmt w:val="decimal"/>
      <w:lvlText w:val="%1."/>
      <w:lvlJc w:val="left"/>
      <w:pPr>
        <w:ind w:left="720" w:hanging="360"/>
      </w:pPr>
      <w:rPr>
        <w:rFonts w:ascii="Aptos" w:hAnsi="Apto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6A2C91"/>
    <w:multiLevelType w:val="multilevel"/>
    <w:tmpl w:val="D562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4B0CC8"/>
    <w:multiLevelType w:val="hybridMultilevel"/>
    <w:tmpl w:val="FA0C5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E511B5"/>
    <w:multiLevelType w:val="hybridMultilevel"/>
    <w:tmpl w:val="FD4E4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E5257E"/>
    <w:multiLevelType w:val="hybridMultilevel"/>
    <w:tmpl w:val="09AEB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4F10F2E"/>
    <w:multiLevelType w:val="hybridMultilevel"/>
    <w:tmpl w:val="0E8ECD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CBF6F1A"/>
    <w:multiLevelType w:val="hybridMultilevel"/>
    <w:tmpl w:val="02C0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3B5D61"/>
    <w:multiLevelType w:val="hybridMultilevel"/>
    <w:tmpl w:val="51827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FFD57B2"/>
    <w:multiLevelType w:val="multilevel"/>
    <w:tmpl w:val="44FE4F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9498406">
    <w:abstractNumId w:val="23"/>
  </w:num>
  <w:num w:numId="2" w16cid:durableId="396325777">
    <w:abstractNumId w:val="35"/>
  </w:num>
  <w:num w:numId="3" w16cid:durableId="78527952">
    <w:abstractNumId w:val="15"/>
  </w:num>
  <w:num w:numId="4" w16cid:durableId="483936434">
    <w:abstractNumId w:val="8"/>
  </w:num>
  <w:num w:numId="5" w16cid:durableId="1185481866">
    <w:abstractNumId w:val="6"/>
  </w:num>
  <w:num w:numId="6" w16cid:durableId="368145629">
    <w:abstractNumId w:val="5"/>
  </w:num>
  <w:num w:numId="7" w16cid:durableId="690030592">
    <w:abstractNumId w:val="4"/>
  </w:num>
  <w:num w:numId="8" w16cid:durableId="127361238">
    <w:abstractNumId w:val="7"/>
  </w:num>
  <w:num w:numId="9" w16cid:durableId="756176301">
    <w:abstractNumId w:val="3"/>
  </w:num>
  <w:num w:numId="10" w16cid:durableId="1010528088">
    <w:abstractNumId w:val="2"/>
  </w:num>
  <w:num w:numId="11" w16cid:durableId="1830094102">
    <w:abstractNumId w:val="1"/>
  </w:num>
  <w:num w:numId="12" w16cid:durableId="74209405">
    <w:abstractNumId w:val="0"/>
  </w:num>
  <w:num w:numId="13" w16cid:durableId="1169367969">
    <w:abstractNumId w:val="30"/>
  </w:num>
  <w:num w:numId="14" w16cid:durableId="1311062426">
    <w:abstractNumId w:val="47"/>
  </w:num>
  <w:num w:numId="15" w16cid:durableId="86074495">
    <w:abstractNumId w:val="32"/>
  </w:num>
  <w:num w:numId="16" w16cid:durableId="570390579">
    <w:abstractNumId w:val="14"/>
  </w:num>
  <w:num w:numId="17" w16cid:durableId="1480344385">
    <w:abstractNumId w:val="10"/>
  </w:num>
  <w:num w:numId="18" w16cid:durableId="262804187">
    <w:abstractNumId w:val="21"/>
  </w:num>
  <w:num w:numId="19" w16cid:durableId="2079863429">
    <w:abstractNumId w:val="18"/>
  </w:num>
  <w:num w:numId="20" w16cid:durableId="505637301">
    <w:abstractNumId w:val="24"/>
  </w:num>
  <w:num w:numId="21" w16cid:durableId="1410809585">
    <w:abstractNumId w:val="34"/>
  </w:num>
  <w:num w:numId="22" w16cid:durableId="1676612366">
    <w:abstractNumId w:val="26"/>
  </w:num>
  <w:num w:numId="23" w16cid:durableId="50545061">
    <w:abstractNumId w:val="9"/>
  </w:num>
  <w:num w:numId="24" w16cid:durableId="1498425950">
    <w:abstractNumId w:val="31"/>
  </w:num>
  <w:num w:numId="25" w16cid:durableId="1274939580">
    <w:abstractNumId w:val="22"/>
  </w:num>
  <w:num w:numId="26" w16cid:durableId="1713916328">
    <w:abstractNumId w:val="46"/>
  </w:num>
  <w:num w:numId="27" w16cid:durableId="690373855">
    <w:abstractNumId w:val="44"/>
  </w:num>
  <w:num w:numId="28" w16cid:durableId="656154896">
    <w:abstractNumId w:val="16"/>
  </w:num>
  <w:num w:numId="29" w16cid:durableId="374159270">
    <w:abstractNumId w:val="17"/>
  </w:num>
  <w:num w:numId="30" w16cid:durableId="1706250225">
    <w:abstractNumId w:val="36"/>
  </w:num>
  <w:num w:numId="31" w16cid:durableId="1676495673">
    <w:abstractNumId w:val="45"/>
  </w:num>
  <w:num w:numId="32" w16cid:durableId="351078305">
    <w:abstractNumId w:val="41"/>
  </w:num>
  <w:num w:numId="33" w16cid:durableId="632444738">
    <w:abstractNumId w:val="28"/>
  </w:num>
  <w:num w:numId="34" w16cid:durableId="51740257">
    <w:abstractNumId w:val="19"/>
  </w:num>
  <w:num w:numId="35" w16cid:durableId="1958104375">
    <w:abstractNumId w:val="40"/>
  </w:num>
  <w:num w:numId="36" w16cid:durableId="1159081348">
    <w:abstractNumId w:val="33"/>
  </w:num>
  <w:num w:numId="37" w16cid:durableId="854417576">
    <w:abstractNumId w:val="38"/>
  </w:num>
  <w:num w:numId="38" w16cid:durableId="948199550">
    <w:abstractNumId w:val="13"/>
  </w:num>
  <w:num w:numId="39" w16cid:durableId="2120835130">
    <w:abstractNumId w:val="29"/>
  </w:num>
  <w:num w:numId="40" w16cid:durableId="1694846206">
    <w:abstractNumId w:val="43"/>
  </w:num>
  <w:num w:numId="41" w16cid:durableId="238294867">
    <w:abstractNumId w:val="12"/>
  </w:num>
  <w:num w:numId="42" w16cid:durableId="1617562068">
    <w:abstractNumId w:val="25"/>
  </w:num>
  <w:num w:numId="43" w16cid:durableId="2021199157">
    <w:abstractNumId w:val="37"/>
  </w:num>
  <w:num w:numId="44" w16cid:durableId="935014576">
    <w:abstractNumId w:val="42"/>
  </w:num>
  <w:num w:numId="45" w16cid:durableId="1019820577">
    <w:abstractNumId w:val="39"/>
  </w:num>
  <w:num w:numId="46" w16cid:durableId="372194409">
    <w:abstractNumId w:val="27"/>
  </w:num>
  <w:num w:numId="47" w16cid:durableId="1128889693">
    <w:abstractNumId w:val="20"/>
  </w:num>
  <w:num w:numId="48" w16cid:durableId="633752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BAF"/>
    <w:rsid w:val="0000186F"/>
    <w:rsid w:val="00001BFC"/>
    <w:rsid w:val="00002D0A"/>
    <w:rsid w:val="00003898"/>
    <w:rsid w:val="00004DFD"/>
    <w:rsid w:val="000077D7"/>
    <w:rsid w:val="00014774"/>
    <w:rsid w:val="0001513D"/>
    <w:rsid w:val="00022897"/>
    <w:rsid w:val="000268D3"/>
    <w:rsid w:val="00033FF8"/>
    <w:rsid w:val="00034616"/>
    <w:rsid w:val="000351C8"/>
    <w:rsid w:val="0003585D"/>
    <w:rsid w:val="00037A55"/>
    <w:rsid w:val="00037F06"/>
    <w:rsid w:val="00042434"/>
    <w:rsid w:val="0004377E"/>
    <w:rsid w:val="00044CB2"/>
    <w:rsid w:val="00047476"/>
    <w:rsid w:val="00050584"/>
    <w:rsid w:val="000534A8"/>
    <w:rsid w:val="000553AC"/>
    <w:rsid w:val="00055A22"/>
    <w:rsid w:val="0006063C"/>
    <w:rsid w:val="00060AC4"/>
    <w:rsid w:val="00061311"/>
    <w:rsid w:val="00064BE7"/>
    <w:rsid w:val="00066965"/>
    <w:rsid w:val="000727D3"/>
    <w:rsid w:val="00075239"/>
    <w:rsid w:val="0007535B"/>
    <w:rsid w:val="000756EC"/>
    <w:rsid w:val="00076C3F"/>
    <w:rsid w:val="00076FC4"/>
    <w:rsid w:val="00081BE9"/>
    <w:rsid w:val="00082E28"/>
    <w:rsid w:val="00084695"/>
    <w:rsid w:val="000875C0"/>
    <w:rsid w:val="00091013"/>
    <w:rsid w:val="00092EFA"/>
    <w:rsid w:val="00093817"/>
    <w:rsid w:val="0009497E"/>
    <w:rsid w:val="00095264"/>
    <w:rsid w:val="000963D8"/>
    <w:rsid w:val="000968F4"/>
    <w:rsid w:val="0009742F"/>
    <w:rsid w:val="000A40DE"/>
    <w:rsid w:val="000A6E58"/>
    <w:rsid w:val="000B03BF"/>
    <w:rsid w:val="000B1EE5"/>
    <w:rsid w:val="000B35AE"/>
    <w:rsid w:val="000B4D4D"/>
    <w:rsid w:val="000C0CE2"/>
    <w:rsid w:val="000C1CFB"/>
    <w:rsid w:val="000C2335"/>
    <w:rsid w:val="000C35D0"/>
    <w:rsid w:val="000C6257"/>
    <w:rsid w:val="000C69AF"/>
    <w:rsid w:val="000C6CC1"/>
    <w:rsid w:val="000C759A"/>
    <w:rsid w:val="000D0603"/>
    <w:rsid w:val="000D4237"/>
    <w:rsid w:val="000D50CA"/>
    <w:rsid w:val="000D51BD"/>
    <w:rsid w:val="000D7A19"/>
    <w:rsid w:val="000E20A6"/>
    <w:rsid w:val="000E25DA"/>
    <w:rsid w:val="000E2EAA"/>
    <w:rsid w:val="000E3FF7"/>
    <w:rsid w:val="000E6145"/>
    <w:rsid w:val="000E66ED"/>
    <w:rsid w:val="000E6C4B"/>
    <w:rsid w:val="000F393A"/>
    <w:rsid w:val="000F6509"/>
    <w:rsid w:val="00100904"/>
    <w:rsid w:val="00104FEE"/>
    <w:rsid w:val="00106688"/>
    <w:rsid w:val="00106A64"/>
    <w:rsid w:val="00107056"/>
    <w:rsid w:val="00112331"/>
    <w:rsid w:val="00113BA8"/>
    <w:rsid w:val="00116B3A"/>
    <w:rsid w:val="00117758"/>
    <w:rsid w:val="001237A3"/>
    <w:rsid w:val="00130620"/>
    <w:rsid w:val="00131666"/>
    <w:rsid w:val="00131E7A"/>
    <w:rsid w:val="001331AD"/>
    <w:rsid w:val="0013353B"/>
    <w:rsid w:val="00143315"/>
    <w:rsid w:val="00144C4E"/>
    <w:rsid w:val="00146320"/>
    <w:rsid w:val="00146CD8"/>
    <w:rsid w:val="00146FAE"/>
    <w:rsid w:val="0015074B"/>
    <w:rsid w:val="00156188"/>
    <w:rsid w:val="00156542"/>
    <w:rsid w:val="00160469"/>
    <w:rsid w:val="00161D95"/>
    <w:rsid w:val="001621DF"/>
    <w:rsid w:val="00162C00"/>
    <w:rsid w:val="001631B8"/>
    <w:rsid w:val="00173435"/>
    <w:rsid w:val="00184870"/>
    <w:rsid w:val="0018506B"/>
    <w:rsid w:val="001A033B"/>
    <w:rsid w:val="001A1999"/>
    <w:rsid w:val="001A2796"/>
    <w:rsid w:val="001B163B"/>
    <w:rsid w:val="001B1A32"/>
    <w:rsid w:val="001B39D6"/>
    <w:rsid w:val="001B3B5A"/>
    <w:rsid w:val="001B4075"/>
    <w:rsid w:val="001B6916"/>
    <w:rsid w:val="001C51BB"/>
    <w:rsid w:val="001C60B1"/>
    <w:rsid w:val="001C6819"/>
    <w:rsid w:val="001D0DAB"/>
    <w:rsid w:val="001D211D"/>
    <w:rsid w:val="001D2C21"/>
    <w:rsid w:val="001D6E64"/>
    <w:rsid w:val="001D7135"/>
    <w:rsid w:val="001E0061"/>
    <w:rsid w:val="001F0179"/>
    <w:rsid w:val="001F2663"/>
    <w:rsid w:val="001F272C"/>
    <w:rsid w:val="002006AE"/>
    <w:rsid w:val="00203D63"/>
    <w:rsid w:val="00204D07"/>
    <w:rsid w:val="00205D73"/>
    <w:rsid w:val="00207352"/>
    <w:rsid w:val="0021046A"/>
    <w:rsid w:val="002128CF"/>
    <w:rsid w:val="00212BE6"/>
    <w:rsid w:val="002155A0"/>
    <w:rsid w:val="0021563B"/>
    <w:rsid w:val="00215B26"/>
    <w:rsid w:val="00217BE5"/>
    <w:rsid w:val="00221AD1"/>
    <w:rsid w:val="00223AD7"/>
    <w:rsid w:val="00225A22"/>
    <w:rsid w:val="00226440"/>
    <w:rsid w:val="00230361"/>
    <w:rsid w:val="00230CB9"/>
    <w:rsid w:val="00231B26"/>
    <w:rsid w:val="00232563"/>
    <w:rsid w:val="00241A61"/>
    <w:rsid w:val="002436CE"/>
    <w:rsid w:val="00243B89"/>
    <w:rsid w:val="0024736C"/>
    <w:rsid w:val="00250EE2"/>
    <w:rsid w:val="0025403B"/>
    <w:rsid w:val="00255B58"/>
    <w:rsid w:val="002679E4"/>
    <w:rsid w:val="0027013A"/>
    <w:rsid w:val="002751F2"/>
    <w:rsid w:val="0028007E"/>
    <w:rsid w:val="0028365D"/>
    <w:rsid w:val="00283A9F"/>
    <w:rsid w:val="0028454B"/>
    <w:rsid w:val="00284639"/>
    <w:rsid w:val="00286528"/>
    <w:rsid w:val="002904D4"/>
    <w:rsid w:val="00291E0D"/>
    <w:rsid w:val="002946F0"/>
    <w:rsid w:val="002952D7"/>
    <w:rsid w:val="0029639D"/>
    <w:rsid w:val="002A209C"/>
    <w:rsid w:val="002A4C63"/>
    <w:rsid w:val="002A6BF5"/>
    <w:rsid w:val="002B09C2"/>
    <w:rsid w:val="002B2809"/>
    <w:rsid w:val="002B3F04"/>
    <w:rsid w:val="002B5676"/>
    <w:rsid w:val="002B7C48"/>
    <w:rsid w:val="002C0115"/>
    <w:rsid w:val="002C0BA3"/>
    <w:rsid w:val="002C1A9E"/>
    <w:rsid w:val="002C1ADA"/>
    <w:rsid w:val="002C3AE1"/>
    <w:rsid w:val="002D16AA"/>
    <w:rsid w:val="002D277E"/>
    <w:rsid w:val="002D55C5"/>
    <w:rsid w:val="002D74B2"/>
    <w:rsid w:val="002E2689"/>
    <w:rsid w:val="002E52B4"/>
    <w:rsid w:val="002E58A3"/>
    <w:rsid w:val="002E6252"/>
    <w:rsid w:val="002F110D"/>
    <w:rsid w:val="002F44B4"/>
    <w:rsid w:val="002F4BB4"/>
    <w:rsid w:val="002F67F4"/>
    <w:rsid w:val="002F7FFE"/>
    <w:rsid w:val="003006B2"/>
    <w:rsid w:val="00305A15"/>
    <w:rsid w:val="00307F20"/>
    <w:rsid w:val="00310700"/>
    <w:rsid w:val="00310AB0"/>
    <w:rsid w:val="003110CB"/>
    <w:rsid w:val="00312956"/>
    <w:rsid w:val="00312C55"/>
    <w:rsid w:val="003143E1"/>
    <w:rsid w:val="0031491F"/>
    <w:rsid w:val="00316731"/>
    <w:rsid w:val="00321779"/>
    <w:rsid w:val="00323340"/>
    <w:rsid w:val="00324DF1"/>
    <w:rsid w:val="00324EDC"/>
    <w:rsid w:val="00326704"/>
    <w:rsid w:val="00326D36"/>
    <w:rsid w:val="00326F90"/>
    <w:rsid w:val="003278C8"/>
    <w:rsid w:val="00331EF0"/>
    <w:rsid w:val="00332EA2"/>
    <w:rsid w:val="00333E36"/>
    <w:rsid w:val="003355F6"/>
    <w:rsid w:val="00347F86"/>
    <w:rsid w:val="0035067F"/>
    <w:rsid w:val="003514BD"/>
    <w:rsid w:val="0035317C"/>
    <w:rsid w:val="0035484D"/>
    <w:rsid w:val="00356E69"/>
    <w:rsid w:val="003571C9"/>
    <w:rsid w:val="00357ACA"/>
    <w:rsid w:val="003611B7"/>
    <w:rsid w:val="00366F9B"/>
    <w:rsid w:val="00370606"/>
    <w:rsid w:val="00374C0C"/>
    <w:rsid w:val="00374DCE"/>
    <w:rsid w:val="00375AEF"/>
    <w:rsid w:val="00380004"/>
    <w:rsid w:val="00380081"/>
    <w:rsid w:val="003813D9"/>
    <w:rsid w:val="00381ED5"/>
    <w:rsid w:val="00381EDF"/>
    <w:rsid w:val="003828F4"/>
    <w:rsid w:val="00384592"/>
    <w:rsid w:val="00385158"/>
    <w:rsid w:val="003903CA"/>
    <w:rsid w:val="00393DE6"/>
    <w:rsid w:val="0039519E"/>
    <w:rsid w:val="003961C6"/>
    <w:rsid w:val="003A1D87"/>
    <w:rsid w:val="003A6CF6"/>
    <w:rsid w:val="003B2322"/>
    <w:rsid w:val="003B4C85"/>
    <w:rsid w:val="003C294B"/>
    <w:rsid w:val="003C2B04"/>
    <w:rsid w:val="003C5AB1"/>
    <w:rsid w:val="003C5AC5"/>
    <w:rsid w:val="003D16CC"/>
    <w:rsid w:val="003D4B02"/>
    <w:rsid w:val="003E2410"/>
    <w:rsid w:val="003E31C7"/>
    <w:rsid w:val="003E57E4"/>
    <w:rsid w:val="003E5F31"/>
    <w:rsid w:val="003F03FC"/>
    <w:rsid w:val="003F177C"/>
    <w:rsid w:val="003F3225"/>
    <w:rsid w:val="003F742F"/>
    <w:rsid w:val="00404623"/>
    <w:rsid w:val="004056EC"/>
    <w:rsid w:val="00407227"/>
    <w:rsid w:val="00411AD3"/>
    <w:rsid w:val="00411E1D"/>
    <w:rsid w:val="00411FEA"/>
    <w:rsid w:val="00414BC7"/>
    <w:rsid w:val="00417905"/>
    <w:rsid w:val="00420105"/>
    <w:rsid w:val="004237F2"/>
    <w:rsid w:val="00426118"/>
    <w:rsid w:val="004268E2"/>
    <w:rsid w:val="00432CD5"/>
    <w:rsid w:val="00433E49"/>
    <w:rsid w:val="004350EB"/>
    <w:rsid w:val="00440954"/>
    <w:rsid w:val="0044095B"/>
    <w:rsid w:val="00441602"/>
    <w:rsid w:val="004417F4"/>
    <w:rsid w:val="00444F1D"/>
    <w:rsid w:val="004455A2"/>
    <w:rsid w:val="00446AD2"/>
    <w:rsid w:val="00452CC2"/>
    <w:rsid w:val="00454DA0"/>
    <w:rsid w:val="0045551E"/>
    <w:rsid w:val="00455776"/>
    <w:rsid w:val="0045710B"/>
    <w:rsid w:val="00462171"/>
    <w:rsid w:val="00464CB6"/>
    <w:rsid w:val="00467026"/>
    <w:rsid w:val="004671B0"/>
    <w:rsid w:val="00467494"/>
    <w:rsid w:val="004702D7"/>
    <w:rsid w:val="00475C03"/>
    <w:rsid w:val="00483992"/>
    <w:rsid w:val="0048534B"/>
    <w:rsid w:val="004861FE"/>
    <w:rsid w:val="00491480"/>
    <w:rsid w:val="00493336"/>
    <w:rsid w:val="00494EFA"/>
    <w:rsid w:val="00496539"/>
    <w:rsid w:val="00497F7B"/>
    <w:rsid w:val="004A2AF3"/>
    <w:rsid w:val="004A2C8F"/>
    <w:rsid w:val="004A2F2C"/>
    <w:rsid w:val="004A42D3"/>
    <w:rsid w:val="004A6562"/>
    <w:rsid w:val="004B047D"/>
    <w:rsid w:val="004B1DBB"/>
    <w:rsid w:val="004B25E0"/>
    <w:rsid w:val="004B3655"/>
    <w:rsid w:val="004B63B1"/>
    <w:rsid w:val="004C2213"/>
    <w:rsid w:val="004C428A"/>
    <w:rsid w:val="004C6D64"/>
    <w:rsid w:val="004C790E"/>
    <w:rsid w:val="004D17E2"/>
    <w:rsid w:val="004D2FAA"/>
    <w:rsid w:val="004D34DA"/>
    <w:rsid w:val="004D6ACD"/>
    <w:rsid w:val="004E1A36"/>
    <w:rsid w:val="004E2803"/>
    <w:rsid w:val="004E2DE4"/>
    <w:rsid w:val="004E421B"/>
    <w:rsid w:val="004F214A"/>
    <w:rsid w:val="004F3EDD"/>
    <w:rsid w:val="004F76CC"/>
    <w:rsid w:val="004F775B"/>
    <w:rsid w:val="005011EA"/>
    <w:rsid w:val="0050675F"/>
    <w:rsid w:val="0050682A"/>
    <w:rsid w:val="00511AC3"/>
    <w:rsid w:val="00512552"/>
    <w:rsid w:val="00512F07"/>
    <w:rsid w:val="005131D4"/>
    <w:rsid w:val="00513555"/>
    <w:rsid w:val="0052043F"/>
    <w:rsid w:val="00521554"/>
    <w:rsid w:val="00522DC9"/>
    <w:rsid w:val="00530886"/>
    <w:rsid w:val="00531177"/>
    <w:rsid w:val="0053158D"/>
    <w:rsid w:val="005333C4"/>
    <w:rsid w:val="00533966"/>
    <w:rsid w:val="00533DF8"/>
    <w:rsid w:val="005364FF"/>
    <w:rsid w:val="00541F45"/>
    <w:rsid w:val="005428EB"/>
    <w:rsid w:val="00542B79"/>
    <w:rsid w:val="00544B09"/>
    <w:rsid w:val="00546F32"/>
    <w:rsid w:val="00552697"/>
    <w:rsid w:val="0055678C"/>
    <w:rsid w:val="00560F50"/>
    <w:rsid w:val="005661A4"/>
    <w:rsid w:val="005662E8"/>
    <w:rsid w:val="005668DC"/>
    <w:rsid w:val="00572E3E"/>
    <w:rsid w:val="00574E97"/>
    <w:rsid w:val="005802B1"/>
    <w:rsid w:val="00580336"/>
    <w:rsid w:val="00584E58"/>
    <w:rsid w:val="00585660"/>
    <w:rsid w:val="00587531"/>
    <w:rsid w:val="00590D33"/>
    <w:rsid w:val="005A039A"/>
    <w:rsid w:val="005A1DE6"/>
    <w:rsid w:val="005A427B"/>
    <w:rsid w:val="005A6580"/>
    <w:rsid w:val="005B0953"/>
    <w:rsid w:val="005B4A65"/>
    <w:rsid w:val="005B5741"/>
    <w:rsid w:val="005B7C0C"/>
    <w:rsid w:val="005C3907"/>
    <w:rsid w:val="005C6A21"/>
    <w:rsid w:val="005C747E"/>
    <w:rsid w:val="005D1B5A"/>
    <w:rsid w:val="005D1BB0"/>
    <w:rsid w:val="005D59BE"/>
    <w:rsid w:val="005E11FC"/>
    <w:rsid w:val="005E230E"/>
    <w:rsid w:val="005E612D"/>
    <w:rsid w:val="005F5A4E"/>
    <w:rsid w:val="005F6582"/>
    <w:rsid w:val="00601D5D"/>
    <w:rsid w:val="00603B43"/>
    <w:rsid w:val="00604B6F"/>
    <w:rsid w:val="00610344"/>
    <w:rsid w:val="00610FF9"/>
    <w:rsid w:val="0061152E"/>
    <w:rsid w:val="0062016B"/>
    <w:rsid w:val="0062022B"/>
    <w:rsid w:val="00622B00"/>
    <w:rsid w:val="00623744"/>
    <w:rsid w:val="00625630"/>
    <w:rsid w:val="00627504"/>
    <w:rsid w:val="006327A7"/>
    <w:rsid w:val="006352A8"/>
    <w:rsid w:val="006425C0"/>
    <w:rsid w:val="0064263F"/>
    <w:rsid w:val="00644383"/>
    <w:rsid w:val="006446E0"/>
    <w:rsid w:val="00646005"/>
    <w:rsid w:val="006469C3"/>
    <w:rsid w:val="00646DC7"/>
    <w:rsid w:val="00652100"/>
    <w:rsid w:val="006536A3"/>
    <w:rsid w:val="00654BD0"/>
    <w:rsid w:val="006553BC"/>
    <w:rsid w:val="006559CE"/>
    <w:rsid w:val="00660849"/>
    <w:rsid w:val="006610CA"/>
    <w:rsid w:val="00663439"/>
    <w:rsid w:val="00663CDE"/>
    <w:rsid w:val="00667598"/>
    <w:rsid w:val="00667D91"/>
    <w:rsid w:val="00674ABF"/>
    <w:rsid w:val="006763A2"/>
    <w:rsid w:val="00676A71"/>
    <w:rsid w:val="006865CA"/>
    <w:rsid w:val="00686877"/>
    <w:rsid w:val="00686F5E"/>
    <w:rsid w:val="00687107"/>
    <w:rsid w:val="00687B5B"/>
    <w:rsid w:val="00687F85"/>
    <w:rsid w:val="00697B59"/>
    <w:rsid w:val="006A030A"/>
    <w:rsid w:val="006A3010"/>
    <w:rsid w:val="006A6344"/>
    <w:rsid w:val="006A7221"/>
    <w:rsid w:val="006A75B0"/>
    <w:rsid w:val="006B2D8D"/>
    <w:rsid w:val="006B2DCF"/>
    <w:rsid w:val="006B5BB7"/>
    <w:rsid w:val="006B634C"/>
    <w:rsid w:val="006C0439"/>
    <w:rsid w:val="006C2CF2"/>
    <w:rsid w:val="006D0FA3"/>
    <w:rsid w:val="006D1423"/>
    <w:rsid w:val="006D1B53"/>
    <w:rsid w:val="006D4037"/>
    <w:rsid w:val="006D5337"/>
    <w:rsid w:val="006D5BDC"/>
    <w:rsid w:val="006E2A49"/>
    <w:rsid w:val="006E48CC"/>
    <w:rsid w:val="006E5720"/>
    <w:rsid w:val="006E5C44"/>
    <w:rsid w:val="006E6CB4"/>
    <w:rsid w:val="006F14EA"/>
    <w:rsid w:val="006F601B"/>
    <w:rsid w:val="0070121A"/>
    <w:rsid w:val="00702A1B"/>
    <w:rsid w:val="00706F29"/>
    <w:rsid w:val="00713C44"/>
    <w:rsid w:val="00716494"/>
    <w:rsid w:val="00716F9D"/>
    <w:rsid w:val="0071776F"/>
    <w:rsid w:val="00720021"/>
    <w:rsid w:val="0072431C"/>
    <w:rsid w:val="00726908"/>
    <w:rsid w:val="007307C0"/>
    <w:rsid w:val="00730C0C"/>
    <w:rsid w:val="00734455"/>
    <w:rsid w:val="0074105B"/>
    <w:rsid w:val="00741737"/>
    <w:rsid w:val="0074499A"/>
    <w:rsid w:val="0074523D"/>
    <w:rsid w:val="00751A4E"/>
    <w:rsid w:val="00751E88"/>
    <w:rsid w:val="00752DEE"/>
    <w:rsid w:val="00753148"/>
    <w:rsid w:val="00753E84"/>
    <w:rsid w:val="00754F9C"/>
    <w:rsid w:val="00755519"/>
    <w:rsid w:val="007565AE"/>
    <w:rsid w:val="007566E1"/>
    <w:rsid w:val="00762796"/>
    <w:rsid w:val="00766620"/>
    <w:rsid w:val="00770E03"/>
    <w:rsid w:val="00772BC7"/>
    <w:rsid w:val="00772D3F"/>
    <w:rsid w:val="0077475A"/>
    <w:rsid w:val="00775940"/>
    <w:rsid w:val="00780759"/>
    <w:rsid w:val="007844BB"/>
    <w:rsid w:val="00786B54"/>
    <w:rsid w:val="00786D9B"/>
    <w:rsid w:val="0079058B"/>
    <w:rsid w:val="00790796"/>
    <w:rsid w:val="00792671"/>
    <w:rsid w:val="00795445"/>
    <w:rsid w:val="00797226"/>
    <w:rsid w:val="007979BC"/>
    <w:rsid w:val="007A3678"/>
    <w:rsid w:val="007B19AE"/>
    <w:rsid w:val="007B5938"/>
    <w:rsid w:val="007B59AD"/>
    <w:rsid w:val="007B5FAB"/>
    <w:rsid w:val="007B67A6"/>
    <w:rsid w:val="007C3C1B"/>
    <w:rsid w:val="007C442F"/>
    <w:rsid w:val="007C44AA"/>
    <w:rsid w:val="007C5F5C"/>
    <w:rsid w:val="007C7BD4"/>
    <w:rsid w:val="007D010A"/>
    <w:rsid w:val="007D2CC1"/>
    <w:rsid w:val="007D2D4C"/>
    <w:rsid w:val="007D3C8C"/>
    <w:rsid w:val="007D43D6"/>
    <w:rsid w:val="007D527A"/>
    <w:rsid w:val="007D716A"/>
    <w:rsid w:val="007D7730"/>
    <w:rsid w:val="007D785E"/>
    <w:rsid w:val="007E0B2E"/>
    <w:rsid w:val="007E34A4"/>
    <w:rsid w:val="007E4402"/>
    <w:rsid w:val="007F39DD"/>
    <w:rsid w:val="007F3AB9"/>
    <w:rsid w:val="007F44D6"/>
    <w:rsid w:val="007F55E0"/>
    <w:rsid w:val="00802D41"/>
    <w:rsid w:val="0080352B"/>
    <w:rsid w:val="00806ADD"/>
    <w:rsid w:val="00806D7A"/>
    <w:rsid w:val="008075A9"/>
    <w:rsid w:val="00810C9D"/>
    <w:rsid w:val="00812601"/>
    <w:rsid w:val="008128AF"/>
    <w:rsid w:val="00814501"/>
    <w:rsid w:val="00814E9F"/>
    <w:rsid w:val="00815B5A"/>
    <w:rsid w:val="008203D1"/>
    <w:rsid w:val="008214FB"/>
    <w:rsid w:val="00821D2D"/>
    <w:rsid w:val="008226C0"/>
    <w:rsid w:val="00825BD1"/>
    <w:rsid w:val="00832AFF"/>
    <w:rsid w:val="00833F05"/>
    <w:rsid w:val="008351D8"/>
    <w:rsid w:val="00836044"/>
    <w:rsid w:val="00837B2F"/>
    <w:rsid w:val="00840315"/>
    <w:rsid w:val="008412F3"/>
    <w:rsid w:val="008422DE"/>
    <w:rsid w:val="00846C34"/>
    <w:rsid w:val="00847056"/>
    <w:rsid w:val="008471E3"/>
    <w:rsid w:val="00853B8F"/>
    <w:rsid w:val="00855A85"/>
    <w:rsid w:val="008617AF"/>
    <w:rsid w:val="0086291D"/>
    <w:rsid w:val="00864779"/>
    <w:rsid w:val="00871417"/>
    <w:rsid w:val="008721B0"/>
    <w:rsid w:val="00876612"/>
    <w:rsid w:val="008800B5"/>
    <w:rsid w:val="00881AFA"/>
    <w:rsid w:val="0088279E"/>
    <w:rsid w:val="00883421"/>
    <w:rsid w:val="00885E2D"/>
    <w:rsid w:val="008923BE"/>
    <w:rsid w:val="008931A0"/>
    <w:rsid w:val="008A7E27"/>
    <w:rsid w:val="008B165F"/>
    <w:rsid w:val="008B3783"/>
    <w:rsid w:val="008B4603"/>
    <w:rsid w:val="008B5DFD"/>
    <w:rsid w:val="008B6178"/>
    <w:rsid w:val="008B6496"/>
    <w:rsid w:val="008C1229"/>
    <w:rsid w:val="008C1A7B"/>
    <w:rsid w:val="008C34EE"/>
    <w:rsid w:val="008D16F1"/>
    <w:rsid w:val="008D305D"/>
    <w:rsid w:val="008D70F6"/>
    <w:rsid w:val="008D7796"/>
    <w:rsid w:val="008D7BB1"/>
    <w:rsid w:val="008E6906"/>
    <w:rsid w:val="008F084E"/>
    <w:rsid w:val="008F1DDC"/>
    <w:rsid w:val="008F1DFA"/>
    <w:rsid w:val="008F3441"/>
    <w:rsid w:val="008F41AB"/>
    <w:rsid w:val="008F4440"/>
    <w:rsid w:val="008F5688"/>
    <w:rsid w:val="008F6E65"/>
    <w:rsid w:val="009008BC"/>
    <w:rsid w:val="00904954"/>
    <w:rsid w:val="00906579"/>
    <w:rsid w:val="00906A78"/>
    <w:rsid w:val="009113EE"/>
    <w:rsid w:val="009128CF"/>
    <w:rsid w:val="0091342A"/>
    <w:rsid w:val="00915022"/>
    <w:rsid w:val="00915625"/>
    <w:rsid w:val="009171D0"/>
    <w:rsid w:val="0092567D"/>
    <w:rsid w:val="00927BAD"/>
    <w:rsid w:val="00932435"/>
    <w:rsid w:val="00932E99"/>
    <w:rsid w:val="009331C5"/>
    <w:rsid w:val="00934CE1"/>
    <w:rsid w:val="0093535A"/>
    <w:rsid w:val="00935BB5"/>
    <w:rsid w:val="0093789D"/>
    <w:rsid w:val="009412C4"/>
    <w:rsid w:val="00943A7E"/>
    <w:rsid w:val="009441A5"/>
    <w:rsid w:val="009513D9"/>
    <w:rsid w:val="009517DD"/>
    <w:rsid w:val="00952878"/>
    <w:rsid w:val="00953A0D"/>
    <w:rsid w:val="009555EC"/>
    <w:rsid w:val="00956F1F"/>
    <w:rsid w:val="009631D4"/>
    <w:rsid w:val="009649A1"/>
    <w:rsid w:val="00965B2F"/>
    <w:rsid w:val="00970B26"/>
    <w:rsid w:val="00971A1E"/>
    <w:rsid w:val="00973C5C"/>
    <w:rsid w:val="009743C4"/>
    <w:rsid w:val="00974914"/>
    <w:rsid w:val="009764C5"/>
    <w:rsid w:val="00977369"/>
    <w:rsid w:val="00981D85"/>
    <w:rsid w:val="0098215B"/>
    <w:rsid w:val="00982804"/>
    <w:rsid w:val="00983E3F"/>
    <w:rsid w:val="00984172"/>
    <w:rsid w:val="0098671E"/>
    <w:rsid w:val="009A1098"/>
    <w:rsid w:val="009A5F69"/>
    <w:rsid w:val="009A6CE7"/>
    <w:rsid w:val="009A7178"/>
    <w:rsid w:val="009A7E5D"/>
    <w:rsid w:val="009B1ED7"/>
    <w:rsid w:val="009C0921"/>
    <w:rsid w:val="009C1303"/>
    <w:rsid w:val="009C5667"/>
    <w:rsid w:val="009C5E4B"/>
    <w:rsid w:val="009D3036"/>
    <w:rsid w:val="009D3DC0"/>
    <w:rsid w:val="009D4CCC"/>
    <w:rsid w:val="009E15BD"/>
    <w:rsid w:val="009E1858"/>
    <w:rsid w:val="009E2872"/>
    <w:rsid w:val="009E64A6"/>
    <w:rsid w:val="009E6C4F"/>
    <w:rsid w:val="009E79A3"/>
    <w:rsid w:val="009F3C4F"/>
    <w:rsid w:val="009F5D53"/>
    <w:rsid w:val="009F6607"/>
    <w:rsid w:val="00A025FC"/>
    <w:rsid w:val="00A05B0D"/>
    <w:rsid w:val="00A064F4"/>
    <w:rsid w:val="00A06C32"/>
    <w:rsid w:val="00A07379"/>
    <w:rsid w:val="00A123A2"/>
    <w:rsid w:val="00A17099"/>
    <w:rsid w:val="00A20064"/>
    <w:rsid w:val="00A21BBD"/>
    <w:rsid w:val="00A22F87"/>
    <w:rsid w:val="00A23FDF"/>
    <w:rsid w:val="00A279D8"/>
    <w:rsid w:val="00A3045E"/>
    <w:rsid w:val="00A321F3"/>
    <w:rsid w:val="00A3257F"/>
    <w:rsid w:val="00A32610"/>
    <w:rsid w:val="00A33832"/>
    <w:rsid w:val="00A35061"/>
    <w:rsid w:val="00A37279"/>
    <w:rsid w:val="00A37F03"/>
    <w:rsid w:val="00A4064C"/>
    <w:rsid w:val="00A450B0"/>
    <w:rsid w:val="00A4599A"/>
    <w:rsid w:val="00A46256"/>
    <w:rsid w:val="00A530E7"/>
    <w:rsid w:val="00A5315D"/>
    <w:rsid w:val="00A53496"/>
    <w:rsid w:val="00A54D8F"/>
    <w:rsid w:val="00A56650"/>
    <w:rsid w:val="00A60CF7"/>
    <w:rsid w:val="00A61B34"/>
    <w:rsid w:val="00A622E1"/>
    <w:rsid w:val="00A62965"/>
    <w:rsid w:val="00A638D2"/>
    <w:rsid w:val="00A645DA"/>
    <w:rsid w:val="00A655BF"/>
    <w:rsid w:val="00A73841"/>
    <w:rsid w:val="00A73C7E"/>
    <w:rsid w:val="00A74848"/>
    <w:rsid w:val="00A75714"/>
    <w:rsid w:val="00A759AC"/>
    <w:rsid w:val="00A80B05"/>
    <w:rsid w:val="00A8535E"/>
    <w:rsid w:val="00A86EC8"/>
    <w:rsid w:val="00A90F63"/>
    <w:rsid w:val="00A91046"/>
    <w:rsid w:val="00A91E74"/>
    <w:rsid w:val="00A93230"/>
    <w:rsid w:val="00A94229"/>
    <w:rsid w:val="00A96C7F"/>
    <w:rsid w:val="00AA1D8D"/>
    <w:rsid w:val="00AA1F73"/>
    <w:rsid w:val="00AA3F39"/>
    <w:rsid w:val="00AA6674"/>
    <w:rsid w:val="00AA6E20"/>
    <w:rsid w:val="00AB1913"/>
    <w:rsid w:val="00AB1CD2"/>
    <w:rsid w:val="00AB2B5B"/>
    <w:rsid w:val="00AB2C05"/>
    <w:rsid w:val="00AB3B4C"/>
    <w:rsid w:val="00AC03AF"/>
    <w:rsid w:val="00AC1021"/>
    <w:rsid w:val="00AC1D25"/>
    <w:rsid w:val="00AD0306"/>
    <w:rsid w:val="00AD14EA"/>
    <w:rsid w:val="00AE4F33"/>
    <w:rsid w:val="00AE5A47"/>
    <w:rsid w:val="00AF40B8"/>
    <w:rsid w:val="00AF6613"/>
    <w:rsid w:val="00AF6DA1"/>
    <w:rsid w:val="00AF7927"/>
    <w:rsid w:val="00B01B37"/>
    <w:rsid w:val="00B04642"/>
    <w:rsid w:val="00B14CAF"/>
    <w:rsid w:val="00B160C0"/>
    <w:rsid w:val="00B23EE4"/>
    <w:rsid w:val="00B25880"/>
    <w:rsid w:val="00B263F6"/>
    <w:rsid w:val="00B2731A"/>
    <w:rsid w:val="00B30229"/>
    <w:rsid w:val="00B34F0A"/>
    <w:rsid w:val="00B401BB"/>
    <w:rsid w:val="00B4074D"/>
    <w:rsid w:val="00B4505F"/>
    <w:rsid w:val="00B4718F"/>
    <w:rsid w:val="00B47730"/>
    <w:rsid w:val="00B55022"/>
    <w:rsid w:val="00B601B5"/>
    <w:rsid w:val="00B630DA"/>
    <w:rsid w:val="00B7009D"/>
    <w:rsid w:val="00B71836"/>
    <w:rsid w:val="00B76996"/>
    <w:rsid w:val="00B76D49"/>
    <w:rsid w:val="00B801C1"/>
    <w:rsid w:val="00B80358"/>
    <w:rsid w:val="00B91AAB"/>
    <w:rsid w:val="00B9535C"/>
    <w:rsid w:val="00B97877"/>
    <w:rsid w:val="00B97A85"/>
    <w:rsid w:val="00BA08CC"/>
    <w:rsid w:val="00BA0E51"/>
    <w:rsid w:val="00BA1BE8"/>
    <w:rsid w:val="00BA262E"/>
    <w:rsid w:val="00BA4F5F"/>
    <w:rsid w:val="00BB0DE4"/>
    <w:rsid w:val="00BB4456"/>
    <w:rsid w:val="00BC1A40"/>
    <w:rsid w:val="00BC37E8"/>
    <w:rsid w:val="00BC3FE6"/>
    <w:rsid w:val="00BC617E"/>
    <w:rsid w:val="00BD0568"/>
    <w:rsid w:val="00BD57EE"/>
    <w:rsid w:val="00BD6445"/>
    <w:rsid w:val="00BD74E9"/>
    <w:rsid w:val="00BD755C"/>
    <w:rsid w:val="00BE09A5"/>
    <w:rsid w:val="00BE4D91"/>
    <w:rsid w:val="00BE6105"/>
    <w:rsid w:val="00BF225B"/>
    <w:rsid w:val="00C01DB2"/>
    <w:rsid w:val="00C03B48"/>
    <w:rsid w:val="00C03EBA"/>
    <w:rsid w:val="00C06B55"/>
    <w:rsid w:val="00C10DBA"/>
    <w:rsid w:val="00C1154B"/>
    <w:rsid w:val="00C13B5B"/>
    <w:rsid w:val="00C14C49"/>
    <w:rsid w:val="00C157DB"/>
    <w:rsid w:val="00C234E1"/>
    <w:rsid w:val="00C243DB"/>
    <w:rsid w:val="00C252A4"/>
    <w:rsid w:val="00C3023D"/>
    <w:rsid w:val="00C32445"/>
    <w:rsid w:val="00C3533C"/>
    <w:rsid w:val="00C3605A"/>
    <w:rsid w:val="00C36C08"/>
    <w:rsid w:val="00C402BF"/>
    <w:rsid w:val="00C44230"/>
    <w:rsid w:val="00C44562"/>
    <w:rsid w:val="00C4583E"/>
    <w:rsid w:val="00C47EE6"/>
    <w:rsid w:val="00C503C2"/>
    <w:rsid w:val="00C51073"/>
    <w:rsid w:val="00C528BC"/>
    <w:rsid w:val="00C52AF1"/>
    <w:rsid w:val="00C52CC9"/>
    <w:rsid w:val="00C546F5"/>
    <w:rsid w:val="00C55746"/>
    <w:rsid w:val="00C56DFD"/>
    <w:rsid w:val="00C60500"/>
    <w:rsid w:val="00C612A7"/>
    <w:rsid w:val="00C61A9B"/>
    <w:rsid w:val="00C6376C"/>
    <w:rsid w:val="00C66C27"/>
    <w:rsid w:val="00C677F9"/>
    <w:rsid w:val="00C739E5"/>
    <w:rsid w:val="00C7572A"/>
    <w:rsid w:val="00C81249"/>
    <w:rsid w:val="00C81AFE"/>
    <w:rsid w:val="00C827C5"/>
    <w:rsid w:val="00C82868"/>
    <w:rsid w:val="00C82E5A"/>
    <w:rsid w:val="00C84FB3"/>
    <w:rsid w:val="00C855A2"/>
    <w:rsid w:val="00C93E8C"/>
    <w:rsid w:val="00C9426D"/>
    <w:rsid w:val="00C943D7"/>
    <w:rsid w:val="00C947A4"/>
    <w:rsid w:val="00C95017"/>
    <w:rsid w:val="00C95067"/>
    <w:rsid w:val="00C95FAD"/>
    <w:rsid w:val="00C97CBF"/>
    <w:rsid w:val="00CA23D8"/>
    <w:rsid w:val="00CA5952"/>
    <w:rsid w:val="00CA721E"/>
    <w:rsid w:val="00CA7D67"/>
    <w:rsid w:val="00CB0664"/>
    <w:rsid w:val="00CB1CCD"/>
    <w:rsid w:val="00CB275E"/>
    <w:rsid w:val="00CB36B0"/>
    <w:rsid w:val="00CB547E"/>
    <w:rsid w:val="00CB761D"/>
    <w:rsid w:val="00CC0EAB"/>
    <w:rsid w:val="00CD1876"/>
    <w:rsid w:val="00CD2E00"/>
    <w:rsid w:val="00CD2F7F"/>
    <w:rsid w:val="00CE1FDF"/>
    <w:rsid w:val="00CE3894"/>
    <w:rsid w:val="00CE40F5"/>
    <w:rsid w:val="00CE49AE"/>
    <w:rsid w:val="00CF35C6"/>
    <w:rsid w:val="00CF4F97"/>
    <w:rsid w:val="00CF667E"/>
    <w:rsid w:val="00CF76AA"/>
    <w:rsid w:val="00D01890"/>
    <w:rsid w:val="00D04600"/>
    <w:rsid w:val="00D05771"/>
    <w:rsid w:val="00D06B07"/>
    <w:rsid w:val="00D07BC9"/>
    <w:rsid w:val="00D103F1"/>
    <w:rsid w:val="00D10C77"/>
    <w:rsid w:val="00D11E8A"/>
    <w:rsid w:val="00D127CB"/>
    <w:rsid w:val="00D13641"/>
    <w:rsid w:val="00D161A1"/>
    <w:rsid w:val="00D17147"/>
    <w:rsid w:val="00D17193"/>
    <w:rsid w:val="00D175EA"/>
    <w:rsid w:val="00D20449"/>
    <w:rsid w:val="00D2227F"/>
    <w:rsid w:val="00D27CFC"/>
    <w:rsid w:val="00D30D34"/>
    <w:rsid w:val="00D324C6"/>
    <w:rsid w:val="00D324FC"/>
    <w:rsid w:val="00D3262F"/>
    <w:rsid w:val="00D33557"/>
    <w:rsid w:val="00D34DC6"/>
    <w:rsid w:val="00D363C7"/>
    <w:rsid w:val="00D365D8"/>
    <w:rsid w:val="00D41367"/>
    <w:rsid w:val="00D43F0B"/>
    <w:rsid w:val="00D50648"/>
    <w:rsid w:val="00D524AF"/>
    <w:rsid w:val="00D52C2A"/>
    <w:rsid w:val="00D537C0"/>
    <w:rsid w:val="00D655E5"/>
    <w:rsid w:val="00D65F1C"/>
    <w:rsid w:val="00D66044"/>
    <w:rsid w:val="00D67363"/>
    <w:rsid w:val="00D7077E"/>
    <w:rsid w:val="00D71679"/>
    <w:rsid w:val="00D72C7D"/>
    <w:rsid w:val="00D72EB9"/>
    <w:rsid w:val="00D73E16"/>
    <w:rsid w:val="00D758CB"/>
    <w:rsid w:val="00D7641A"/>
    <w:rsid w:val="00D777E4"/>
    <w:rsid w:val="00D814E2"/>
    <w:rsid w:val="00D81E97"/>
    <w:rsid w:val="00D85BFC"/>
    <w:rsid w:val="00D85C11"/>
    <w:rsid w:val="00D861DC"/>
    <w:rsid w:val="00D905EE"/>
    <w:rsid w:val="00D90D7F"/>
    <w:rsid w:val="00D91363"/>
    <w:rsid w:val="00D91A8F"/>
    <w:rsid w:val="00D9433A"/>
    <w:rsid w:val="00D94540"/>
    <w:rsid w:val="00D9483A"/>
    <w:rsid w:val="00D96D03"/>
    <w:rsid w:val="00DA2BCE"/>
    <w:rsid w:val="00DA3017"/>
    <w:rsid w:val="00DA5737"/>
    <w:rsid w:val="00DB06AE"/>
    <w:rsid w:val="00DB40C2"/>
    <w:rsid w:val="00DC103A"/>
    <w:rsid w:val="00DC459A"/>
    <w:rsid w:val="00DC68F3"/>
    <w:rsid w:val="00DC6BC1"/>
    <w:rsid w:val="00DC7FD9"/>
    <w:rsid w:val="00DD3074"/>
    <w:rsid w:val="00DD4E12"/>
    <w:rsid w:val="00DD649C"/>
    <w:rsid w:val="00DE08E2"/>
    <w:rsid w:val="00DE1DD6"/>
    <w:rsid w:val="00DE76E2"/>
    <w:rsid w:val="00DE77FE"/>
    <w:rsid w:val="00DF5522"/>
    <w:rsid w:val="00DF654E"/>
    <w:rsid w:val="00DF6B08"/>
    <w:rsid w:val="00DF702A"/>
    <w:rsid w:val="00DF79C0"/>
    <w:rsid w:val="00E0090B"/>
    <w:rsid w:val="00E00A40"/>
    <w:rsid w:val="00E02145"/>
    <w:rsid w:val="00E06C98"/>
    <w:rsid w:val="00E12B70"/>
    <w:rsid w:val="00E13FD3"/>
    <w:rsid w:val="00E157F9"/>
    <w:rsid w:val="00E21A43"/>
    <w:rsid w:val="00E24C08"/>
    <w:rsid w:val="00E262B4"/>
    <w:rsid w:val="00E2674C"/>
    <w:rsid w:val="00E26B8C"/>
    <w:rsid w:val="00E27A37"/>
    <w:rsid w:val="00E27E60"/>
    <w:rsid w:val="00E305FE"/>
    <w:rsid w:val="00E3093D"/>
    <w:rsid w:val="00E31C02"/>
    <w:rsid w:val="00E31DBF"/>
    <w:rsid w:val="00E31FD1"/>
    <w:rsid w:val="00E33E2E"/>
    <w:rsid w:val="00E34F3B"/>
    <w:rsid w:val="00E445D9"/>
    <w:rsid w:val="00E44755"/>
    <w:rsid w:val="00E45F96"/>
    <w:rsid w:val="00E460BB"/>
    <w:rsid w:val="00E4765A"/>
    <w:rsid w:val="00E53758"/>
    <w:rsid w:val="00E55812"/>
    <w:rsid w:val="00E5774E"/>
    <w:rsid w:val="00E61823"/>
    <w:rsid w:val="00E62663"/>
    <w:rsid w:val="00E632A7"/>
    <w:rsid w:val="00E63F0A"/>
    <w:rsid w:val="00E65C32"/>
    <w:rsid w:val="00E66A0B"/>
    <w:rsid w:val="00E66D54"/>
    <w:rsid w:val="00E72D25"/>
    <w:rsid w:val="00E73901"/>
    <w:rsid w:val="00E74A2B"/>
    <w:rsid w:val="00E76A96"/>
    <w:rsid w:val="00E7707E"/>
    <w:rsid w:val="00E81193"/>
    <w:rsid w:val="00E83728"/>
    <w:rsid w:val="00E83BD9"/>
    <w:rsid w:val="00E86411"/>
    <w:rsid w:val="00E92E18"/>
    <w:rsid w:val="00E92E5A"/>
    <w:rsid w:val="00E94972"/>
    <w:rsid w:val="00EA2A6C"/>
    <w:rsid w:val="00EA4F49"/>
    <w:rsid w:val="00EA5B13"/>
    <w:rsid w:val="00EA62D5"/>
    <w:rsid w:val="00EA7E84"/>
    <w:rsid w:val="00EB5F83"/>
    <w:rsid w:val="00EB6AA4"/>
    <w:rsid w:val="00EC44F3"/>
    <w:rsid w:val="00EC5A28"/>
    <w:rsid w:val="00EC629D"/>
    <w:rsid w:val="00EC7A24"/>
    <w:rsid w:val="00ED26DD"/>
    <w:rsid w:val="00ED37C1"/>
    <w:rsid w:val="00ED57ED"/>
    <w:rsid w:val="00EE13FC"/>
    <w:rsid w:val="00EE14C4"/>
    <w:rsid w:val="00EE159A"/>
    <w:rsid w:val="00EE1B30"/>
    <w:rsid w:val="00EE2B2D"/>
    <w:rsid w:val="00EE3144"/>
    <w:rsid w:val="00EE34BA"/>
    <w:rsid w:val="00EE7219"/>
    <w:rsid w:val="00EE7B9F"/>
    <w:rsid w:val="00EF0C2D"/>
    <w:rsid w:val="00EF1E47"/>
    <w:rsid w:val="00EF3BE6"/>
    <w:rsid w:val="00EF41FB"/>
    <w:rsid w:val="00EF4660"/>
    <w:rsid w:val="00EF7350"/>
    <w:rsid w:val="00EF7A13"/>
    <w:rsid w:val="00F07BF8"/>
    <w:rsid w:val="00F07DA7"/>
    <w:rsid w:val="00F11E0F"/>
    <w:rsid w:val="00F146E3"/>
    <w:rsid w:val="00F15357"/>
    <w:rsid w:val="00F22DBA"/>
    <w:rsid w:val="00F23DA4"/>
    <w:rsid w:val="00F240B9"/>
    <w:rsid w:val="00F27432"/>
    <w:rsid w:val="00F32445"/>
    <w:rsid w:val="00F35C87"/>
    <w:rsid w:val="00F37ED8"/>
    <w:rsid w:val="00F40B42"/>
    <w:rsid w:val="00F436D4"/>
    <w:rsid w:val="00F46B0A"/>
    <w:rsid w:val="00F4700A"/>
    <w:rsid w:val="00F519CE"/>
    <w:rsid w:val="00F52AB5"/>
    <w:rsid w:val="00F567B2"/>
    <w:rsid w:val="00F57CE3"/>
    <w:rsid w:val="00F6085A"/>
    <w:rsid w:val="00F60C3A"/>
    <w:rsid w:val="00F62D0C"/>
    <w:rsid w:val="00F64FC6"/>
    <w:rsid w:val="00F65DB9"/>
    <w:rsid w:val="00F673C5"/>
    <w:rsid w:val="00F70434"/>
    <w:rsid w:val="00F70C8B"/>
    <w:rsid w:val="00F73952"/>
    <w:rsid w:val="00F761D0"/>
    <w:rsid w:val="00F77991"/>
    <w:rsid w:val="00F80766"/>
    <w:rsid w:val="00F812F3"/>
    <w:rsid w:val="00F8394F"/>
    <w:rsid w:val="00F8788B"/>
    <w:rsid w:val="00F90F97"/>
    <w:rsid w:val="00F92E7F"/>
    <w:rsid w:val="00F952F9"/>
    <w:rsid w:val="00FA05A3"/>
    <w:rsid w:val="00FA0A06"/>
    <w:rsid w:val="00FA159D"/>
    <w:rsid w:val="00FA3B54"/>
    <w:rsid w:val="00FA40C3"/>
    <w:rsid w:val="00FA4AFE"/>
    <w:rsid w:val="00FA4CAA"/>
    <w:rsid w:val="00FA7A52"/>
    <w:rsid w:val="00FB48BF"/>
    <w:rsid w:val="00FB4AF1"/>
    <w:rsid w:val="00FB5638"/>
    <w:rsid w:val="00FC01BE"/>
    <w:rsid w:val="00FC1A4A"/>
    <w:rsid w:val="00FC693F"/>
    <w:rsid w:val="00FC797F"/>
    <w:rsid w:val="00FD0063"/>
    <w:rsid w:val="00FD05EB"/>
    <w:rsid w:val="00FD0C75"/>
    <w:rsid w:val="00FD1699"/>
    <w:rsid w:val="00FD1A61"/>
    <w:rsid w:val="00FD7CA9"/>
    <w:rsid w:val="00FD7D38"/>
    <w:rsid w:val="00FE12FF"/>
    <w:rsid w:val="00FE1FA1"/>
    <w:rsid w:val="00FE343A"/>
    <w:rsid w:val="00FE4986"/>
    <w:rsid w:val="00FE698C"/>
    <w:rsid w:val="00FF06F9"/>
    <w:rsid w:val="00FF3AE8"/>
    <w:rsid w:val="00FF4497"/>
    <w:rsid w:val="00FF46F1"/>
    <w:rsid w:val="03B7CB63"/>
    <w:rsid w:val="0BDDC9FF"/>
    <w:rsid w:val="0E312DA2"/>
    <w:rsid w:val="132EFBC2"/>
    <w:rsid w:val="147144D0"/>
    <w:rsid w:val="15325565"/>
    <w:rsid w:val="172EA24D"/>
    <w:rsid w:val="1848E94E"/>
    <w:rsid w:val="1889B1ED"/>
    <w:rsid w:val="1A9F067B"/>
    <w:rsid w:val="1B4503B6"/>
    <w:rsid w:val="1F409771"/>
    <w:rsid w:val="1FED5FC0"/>
    <w:rsid w:val="23F53150"/>
    <w:rsid w:val="2AE618C9"/>
    <w:rsid w:val="2E2946D5"/>
    <w:rsid w:val="33BDA423"/>
    <w:rsid w:val="34C937AB"/>
    <w:rsid w:val="3B66ABA2"/>
    <w:rsid w:val="3C94CE9B"/>
    <w:rsid w:val="41311A26"/>
    <w:rsid w:val="42B1DC2C"/>
    <w:rsid w:val="42CDF0E1"/>
    <w:rsid w:val="4346E73C"/>
    <w:rsid w:val="468EF495"/>
    <w:rsid w:val="47C6F9F0"/>
    <w:rsid w:val="482DA4CA"/>
    <w:rsid w:val="4936D9EA"/>
    <w:rsid w:val="4D3F29F0"/>
    <w:rsid w:val="5126E044"/>
    <w:rsid w:val="5400C2FE"/>
    <w:rsid w:val="551571EC"/>
    <w:rsid w:val="57955B3B"/>
    <w:rsid w:val="57D7A616"/>
    <w:rsid w:val="587E0F94"/>
    <w:rsid w:val="5B081316"/>
    <w:rsid w:val="5C782B01"/>
    <w:rsid w:val="5F350A7E"/>
    <w:rsid w:val="60E4B91B"/>
    <w:rsid w:val="63A998CE"/>
    <w:rsid w:val="63E4A557"/>
    <w:rsid w:val="63F55B49"/>
    <w:rsid w:val="65CEF0D6"/>
    <w:rsid w:val="6CC0FE5C"/>
    <w:rsid w:val="6D30F7A7"/>
    <w:rsid w:val="6D6CBD43"/>
    <w:rsid w:val="71FB7E8A"/>
    <w:rsid w:val="77D1CE41"/>
    <w:rsid w:val="7AE5DE1D"/>
    <w:rsid w:val="7D58A25F"/>
    <w:rsid w:val="7D766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52EFA"/>
  <w14:defaultImageDpi w14:val="300"/>
  <w15:docId w15:val="{2BC55EC5-D007-4612-8B76-9A7373D1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9"/>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7707E"/>
    <w:rPr>
      <w:color w:val="0000FF" w:themeColor="hyperlink"/>
      <w:u w:val="single"/>
    </w:rPr>
  </w:style>
  <w:style w:type="character" w:styleId="UnresolvedMention">
    <w:name w:val="Unresolved Mention"/>
    <w:basedOn w:val="DefaultParagraphFont"/>
    <w:uiPriority w:val="99"/>
    <w:semiHidden/>
    <w:unhideWhenUsed/>
    <w:rsid w:val="00E7707E"/>
    <w:rPr>
      <w:color w:val="605E5C"/>
      <w:shd w:val="clear" w:color="auto" w:fill="E1DFDD"/>
    </w:rPr>
  </w:style>
  <w:style w:type="character" w:styleId="FollowedHyperlink">
    <w:name w:val="FollowedHyperlink"/>
    <w:basedOn w:val="DefaultParagraphFont"/>
    <w:uiPriority w:val="99"/>
    <w:semiHidden/>
    <w:unhideWhenUsed/>
    <w:rsid w:val="00A123A2"/>
    <w:rPr>
      <w:color w:val="800080" w:themeColor="followedHyperlink"/>
      <w:u w:val="single"/>
    </w:rPr>
  </w:style>
  <w:style w:type="paragraph" w:styleId="TOC1">
    <w:name w:val="toc 1"/>
    <w:basedOn w:val="Normal"/>
    <w:next w:val="Normal"/>
    <w:autoRedefine/>
    <w:uiPriority w:val="39"/>
    <w:unhideWhenUsed/>
    <w:rsid w:val="00713C44"/>
    <w:pPr>
      <w:spacing w:after="100"/>
    </w:pPr>
  </w:style>
  <w:style w:type="paragraph" w:styleId="TOC3">
    <w:name w:val="toc 3"/>
    <w:basedOn w:val="Normal"/>
    <w:next w:val="Normal"/>
    <w:autoRedefine/>
    <w:uiPriority w:val="39"/>
    <w:unhideWhenUsed/>
    <w:rsid w:val="00713C44"/>
    <w:pPr>
      <w:spacing w:after="100"/>
      <w:ind w:left="440"/>
    </w:pPr>
  </w:style>
  <w:style w:type="paragraph" w:styleId="TOC2">
    <w:name w:val="toc 2"/>
    <w:basedOn w:val="Normal"/>
    <w:next w:val="Normal"/>
    <w:autoRedefine/>
    <w:uiPriority w:val="39"/>
    <w:unhideWhenUsed/>
    <w:rsid w:val="00713C44"/>
    <w:pPr>
      <w:spacing w:after="100"/>
      <w:ind w:left="220"/>
    </w:pPr>
  </w:style>
  <w:style w:type="character" w:styleId="CommentReference">
    <w:name w:val="annotation reference"/>
    <w:basedOn w:val="DefaultParagraphFont"/>
    <w:uiPriority w:val="99"/>
    <w:semiHidden/>
    <w:unhideWhenUsed/>
    <w:rsid w:val="00D66044"/>
    <w:rPr>
      <w:sz w:val="16"/>
      <w:szCs w:val="16"/>
    </w:rPr>
  </w:style>
  <w:style w:type="paragraph" w:styleId="CommentText">
    <w:name w:val="annotation text"/>
    <w:basedOn w:val="Normal"/>
    <w:link w:val="CommentTextChar"/>
    <w:uiPriority w:val="99"/>
    <w:unhideWhenUsed/>
    <w:rsid w:val="00D66044"/>
    <w:pPr>
      <w:spacing w:line="240" w:lineRule="auto"/>
    </w:pPr>
    <w:rPr>
      <w:sz w:val="20"/>
      <w:szCs w:val="20"/>
    </w:rPr>
  </w:style>
  <w:style w:type="character" w:customStyle="1" w:styleId="CommentTextChar">
    <w:name w:val="Comment Text Char"/>
    <w:basedOn w:val="DefaultParagraphFont"/>
    <w:link w:val="CommentText"/>
    <w:uiPriority w:val="99"/>
    <w:rsid w:val="00D66044"/>
    <w:rPr>
      <w:sz w:val="20"/>
      <w:szCs w:val="20"/>
    </w:rPr>
  </w:style>
  <w:style w:type="paragraph" w:styleId="CommentSubject">
    <w:name w:val="annotation subject"/>
    <w:basedOn w:val="CommentText"/>
    <w:next w:val="CommentText"/>
    <w:link w:val="CommentSubjectChar"/>
    <w:uiPriority w:val="99"/>
    <w:semiHidden/>
    <w:unhideWhenUsed/>
    <w:rsid w:val="00D66044"/>
    <w:rPr>
      <w:b/>
      <w:bCs/>
    </w:rPr>
  </w:style>
  <w:style w:type="character" w:customStyle="1" w:styleId="CommentSubjectChar">
    <w:name w:val="Comment Subject Char"/>
    <w:basedOn w:val="CommentTextChar"/>
    <w:link w:val="CommentSubject"/>
    <w:uiPriority w:val="99"/>
    <w:semiHidden/>
    <w:rsid w:val="00D66044"/>
    <w:rPr>
      <w:b/>
      <w:bCs/>
      <w:sz w:val="20"/>
      <w:szCs w:val="20"/>
    </w:rPr>
  </w:style>
  <w:style w:type="paragraph" w:styleId="NormalWeb">
    <w:name w:val="Normal (Web)"/>
    <w:basedOn w:val="Normal"/>
    <w:uiPriority w:val="99"/>
    <w:semiHidden/>
    <w:unhideWhenUsed/>
    <w:rsid w:val="00790796"/>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D13641"/>
  </w:style>
  <w:style w:type="paragraph" w:styleId="Revision">
    <w:name w:val="Revision"/>
    <w:hidden/>
    <w:uiPriority w:val="99"/>
    <w:semiHidden/>
    <w:rsid w:val="003531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8871">
      <w:bodyDiv w:val="1"/>
      <w:marLeft w:val="0"/>
      <w:marRight w:val="0"/>
      <w:marTop w:val="0"/>
      <w:marBottom w:val="0"/>
      <w:divBdr>
        <w:top w:val="none" w:sz="0" w:space="0" w:color="auto"/>
        <w:left w:val="none" w:sz="0" w:space="0" w:color="auto"/>
        <w:bottom w:val="none" w:sz="0" w:space="0" w:color="auto"/>
        <w:right w:val="none" w:sz="0" w:space="0" w:color="auto"/>
      </w:divBdr>
    </w:div>
    <w:div w:id="82727126">
      <w:bodyDiv w:val="1"/>
      <w:marLeft w:val="0"/>
      <w:marRight w:val="0"/>
      <w:marTop w:val="0"/>
      <w:marBottom w:val="0"/>
      <w:divBdr>
        <w:top w:val="none" w:sz="0" w:space="0" w:color="auto"/>
        <w:left w:val="none" w:sz="0" w:space="0" w:color="auto"/>
        <w:bottom w:val="none" w:sz="0" w:space="0" w:color="auto"/>
        <w:right w:val="none" w:sz="0" w:space="0" w:color="auto"/>
      </w:divBdr>
    </w:div>
    <w:div w:id="91974882">
      <w:bodyDiv w:val="1"/>
      <w:marLeft w:val="0"/>
      <w:marRight w:val="0"/>
      <w:marTop w:val="0"/>
      <w:marBottom w:val="0"/>
      <w:divBdr>
        <w:top w:val="none" w:sz="0" w:space="0" w:color="auto"/>
        <w:left w:val="none" w:sz="0" w:space="0" w:color="auto"/>
        <w:bottom w:val="none" w:sz="0" w:space="0" w:color="auto"/>
        <w:right w:val="none" w:sz="0" w:space="0" w:color="auto"/>
      </w:divBdr>
    </w:div>
    <w:div w:id="116342306">
      <w:bodyDiv w:val="1"/>
      <w:marLeft w:val="0"/>
      <w:marRight w:val="0"/>
      <w:marTop w:val="0"/>
      <w:marBottom w:val="0"/>
      <w:divBdr>
        <w:top w:val="none" w:sz="0" w:space="0" w:color="auto"/>
        <w:left w:val="none" w:sz="0" w:space="0" w:color="auto"/>
        <w:bottom w:val="none" w:sz="0" w:space="0" w:color="auto"/>
        <w:right w:val="none" w:sz="0" w:space="0" w:color="auto"/>
      </w:divBdr>
    </w:div>
    <w:div w:id="196502659">
      <w:bodyDiv w:val="1"/>
      <w:marLeft w:val="0"/>
      <w:marRight w:val="0"/>
      <w:marTop w:val="0"/>
      <w:marBottom w:val="0"/>
      <w:divBdr>
        <w:top w:val="none" w:sz="0" w:space="0" w:color="auto"/>
        <w:left w:val="none" w:sz="0" w:space="0" w:color="auto"/>
        <w:bottom w:val="none" w:sz="0" w:space="0" w:color="auto"/>
        <w:right w:val="none" w:sz="0" w:space="0" w:color="auto"/>
      </w:divBdr>
    </w:div>
    <w:div w:id="215089410">
      <w:bodyDiv w:val="1"/>
      <w:marLeft w:val="0"/>
      <w:marRight w:val="0"/>
      <w:marTop w:val="0"/>
      <w:marBottom w:val="0"/>
      <w:divBdr>
        <w:top w:val="none" w:sz="0" w:space="0" w:color="auto"/>
        <w:left w:val="none" w:sz="0" w:space="0" w:color="auto"/>
        <w:bottom w:val="none" w:sz="0" w:space="0" w:color="auto"/>
        <w:right w:val="none" w:sz="0" w:space="0" w:color="auto"/>
      </w:divBdr>
    </w:div>
    <w:div w:id="253704498">
      <w:bodyDiv w:val="1"/>
      <w:marLeft w:val="0"/>
      <w:marRight w:val="0"/>
      <w:marTop w:val="0"/>
      <w:marBottom w:val="0"/>
      <w:divBdr>
        <w:top w:val="none" w:sz="0" w:space="0" w:color="auto"/>
        <w:left w:val="none" w:sz="0" w:space="0" w:color="auto"/>
        <w:bottom w:val="none" w:sz="0" w:space="0" w:color="auto"/>
        <w:right w:val="none" w:sz="0" w:space="0" w:color="auto"/>
      </w:divBdr>
    </w:div>
    <w:div w:id="340619709">
      <w:bodyDiv w:val="1"/>
      <w:marLeft w:val="0"/>
      <w:marRight w:val="0"/>
      <w:marTop w:val="0"/>
      <w:marBottom w:val="0"/>
      <w:divBdr>
        <w:top w:val="none" w:sz="0" w:space="0" w:color="auto"/>
        <w:left w:val="none" w:sz="0" w:space="0" w:color="auto"/>
        <w:bottom w:val="none" w:sz="0" w:space="0" w:color="auto"/>
        <w:right w:val="none" w:sz="0" w:space="0" w:color="auto"/>
      </w:divBdr>
    </w:div>
    <w:div w:id="522985469">
      <w:bodyDiv w:val="1"/>
      <w:marLeft w:val="0"/>
      <w:marRight w:val="0"/>
      <w:marTop w:val="0"/>
      <w:marBottom w:val="0"/>
      <w:divBdr>
        <w:top w:val="none" w:sz="0" w:space="0" w:color="auto"/>
        <w:left w:val="none" w:sz="0" w:space="0" w:color="auto"/>
        <w:bottom w:val="none" w:sz="0" w:space="0" w:color="auto"/>
        <w:right w:val="none" w:sz="0" w:space="0" w:color="auto"/>
      </w:divBdr>
    </w:div>
    <w:div w:id="567348563">
      <w:bodyDiv w:val="1"/>
      <w:marLeft w:val="0"/>
      <w:marRight w:val="0"/>
      <w:marTop w:val="0"/>
      <w:marBottom w:val="0"/>
      <w:divBdr>
        <w:top w:val="none" w:sz="0" w:space="0" w:color="auto"/>
        <w:left w:val="none" w:sz="0" w:space="0" w:color="auto"/>
        <w:bottom w:val="none" w:sz="0" w:space="0" w:color="auto"/>
        <w:right w:val="none" w:sz="0" w:space="0" w:color="auto"/>
      </w:divBdr>
    </w:div>
    <w:div w:id="857426300">
      <w:bodyDiv w:val="1"/>
      <w:marLeft w:val="0"/>
      <w:marRight w:val="0"/>
      <w:marTop w:val="0"/>
      <w:marBottom w:val="0"/>
      <w:divBdr>
        <w:top w:val="none" w:sz="0" w:space="0" w:color="auto"/>
        <w:left w:val="none" w:sz="0" w:space="0" w:color="auto"/>
        <w:bottom w:val="none" w:sz="0" w:space="0" w:color="auto"/>
        <w:right w:val="none" w:sz="0" w:space="0" w:color="auto"/>
      </w:divBdr>
    </w:div>
    <w:div w:id="1021125988">
      <w:bodyDiv w:val="1"/>
      <w:marLeft w:val="0"/>
      <w:marRight w:val="0"/>
      <w:marTop w:val="0"/>
      <w:marBottom w:val="0"/>
      <w:divBdr>
        <w:top w:val="none" w:sz="0" w:space="0" w:color="auto"/>
        <w:left w:val="none" w:sz="0" w:space="0" w:color="auto"/>
        <w:bottom w:val="none" w:sz="0" w:space="0" w:color="auto"/>
        <w:right w:val="none" w:sz="0" w:space="0" w:color="auto"/>
      </w:divBdr>
    </w:div>
    <w:div w:id="1101341573">
      <w:bodyDiv w:val="1"/>
      <w:marLeft w:val="0"/>
      <w:marRight w:val="0"/>
      <w:marTop w:val="0"/>
      <w:marBottom w:val="0"/>
      <w:divBdr>
        <w:top w:val="none" w:sz="0" w:space="0" w:color="auto"/>
        <w:left w:val="none" w:sz="0" w:space="0" w:color="auto"/>
        <w:bottom w:val="none" w:sz="0" w:space="0" w:color="auto"/>
        <w:right w:val="none" w:sz="0" w:space="0" w:color="auto"/>
      </w:divBdr>
    </w:div>
    <w:div w:id="1118451048">
      <w:bodyDiv w:val="1"/>
      <w:marLeft w:val="0"/>
      <w:marRight w:val="0"/>
      <w:marTop w:val="0"/>
      <w:marBottom w:val="0"/>
      <w:divBdr>
        <w:top w:val="none" w:sz="0" w:space="0" w:color="auto"/>
        <w:left w:val="none" w:sz="0" w:space="0" w:color="auto"/>
        <w:bottom w:val="none" w:sz="0" w:space="0" w:color="auto"/>
        <w:right w:val="none" w:sz="0" w:space="0" w:color="auto"/>
      </w:divBdr>
    </w:div>
    <w:div w:id="1158762639">
      <w:bodyDiv w:val="1"/>
      <w:marLeft w:val="0"/>
      <w:marRight w:val="0"/>
      <w:marTop w:val="0"/>
      <w:marBottom w:val="0"/>
      <w:divBdr>
        <w:top w:val="none" w:sz="0" w:space="0" w:color="auto"/>
        <w:left w:val="none" w:sz="0" w:space="0" w:color="auto"/>
        <w:bottom w:val="none" w:sz="0" w:space="0" w:color="auto"/>
        <w:right w:val="none" w:sz="0" w:space="0" w:color="auto"/>
      </w:divBdr>
    </w:div>
    <w:div w:id="1234044980">
      <w:bodyDiv w:val="1"/>
      <w:marLeft w:val="0"/>
      <w:marRight w:val="0"/>
      <w:marTop w:val="0"/>
      <w:marBottom w:val="0"/>
      <w:divBdr>
        <w:top w:val="none" w:sz="0" w:space="0" w:color="auto"/>
        <w:left w:val="none" w:sz="0" w:space="0" w:color="auto"/>
        <w:bottom w:val="none" w:sz="0" w:space="0" w:color="auto"/>
        <w:right w:val="none" w:sz="0" w:space="0" w:color="auto"/>
      </w:divBdr>
    </w:div>
    <w:div w:id="1283998446">
      <w:bodyDiv w:val="1"/>
      <w:marLeft w:val="0"/>
      <w:marRight w:val="0"/>
      <w:marTop w:val="0"/>
      <w:marBottom w:val="0"/>
      <w:divBdr>
        <w:top w:val="none" w:sz="0" w:space="0" w:color="auto"/>
        <w:left w:val="none" w:sz="0" w:space="0" w:color="auto"/>
        <w:bottom w:val="none" w:sz="0" w:space="0" w:color="auto"/>
        <w:right w:val="none" w:sz="0" w:space="0" w:color="auto"/>
      </w:divBdr>
    </w:div>
    <w:div w:id="1369795691">
      <w:bodyDiv w:val="1"/>
      <w:marLeft w:val="0"/>
      <w:marRight w:val="0"/>
      <w:marTop w:val="0"/>
      <w:marBottom w:val="0"/>
      <w:divBdr>
        <w:top w:val="none" w:sz="0" w:space="0" w:color="auto"/>
        <w:left w:val="none" w:sz="0" w:space="0" w:color="auto"/>
        <w:bottom w:val="none" w:sz="0" w:space="0" w:color="auto"/>
        <w:right w:val="none" w:sz="0" w:space="0" w:color="auto"/>
      </w:divBdr>
    </w:div>
    <w:div w:id="1413431400">
      <w:bodyDiv w:val="1"/>
      <w:marLeft w:val="0"/>
      <w:marRight w:val="0"/>
      <w:marTop w:val="0"/>
      <w:marBottom w:val="0"/>
      <w:divBdr>
        <w:top w:val="none" w:sz="0" w:space="0" w:color="auto"/>
        <w:left w:val="none" w:sz="0" w:space="0" w:color="auto"/>
        <w:bottom w:val="none" w:sz="0" w:space="0" w:color="auto"/>
        <w:right w:val="none" w:sz="0" w:space="0" w:color="auto"/>
      </w:divBdr>
    </w:div>
    <w:div w:id="1476601475">
      <w:bodyDiv w:val="1"/>
      <w:marLeft w:val="0"/>
      <w:marRight w:val="0"/>
      <w:marTop w:val="0"/>
      <w:marBottom w:val="0"/>
      <w:divBdr>
        <w:top w:val="none" w:sz="0" w:space="0" w:color="auto"/>
        <w:left w:val="none" w:sz="0" w:space="0" w:color="auto"/>
        <w:bottom w:val="none" w:sz="0" w:space="0" w:color="auto"/>
        <w:right w:val="none" w:sz="0" w:space="0" w:color="auto"/>
      </w:divBdr>
    </w:div>
    <w:div w:id="1557623406">
      <w:bodyDiv w:val="1"/>
      <w:marLeft w:val="0"/>
      <w:marRight w:val="0"/>
      <w:marTop w:val="0"/>
      <w:marBottom w:val="0"/>
      <w:divBdr>
        <w:top w:val="none" w:sz="0" w:space="0" w:color="auto"/>
        <w:left w:val="none" w:sz="0" w:space="0" w:color="auto"/>
        <w:bottom w:val="none" w:sz="0" w:space="0" w:color="auto"/>
        <w:right w:val="none" w:sz="0" w:space="0" w:color="auto"/>
      </w:divBdr>
    </w:div>
    <w:div w:id="1802990565">
      <w:bodyDiv w:val="1"/>
      <w:marLeft w:val="0"/>
      <w:marRight w:val="0"/>
      <w:marTop w:val="0"/>
      <w:marBottom w:val="0"/>
      <w:divBdr>
        <w:top w:val="none" w:sz="0" w:space="0" w:color="auto"/>
        <w:left w:val="none" w:sz="0" w:space="0" w:color="auto"/>
        <w:bottom w:val="none" w:sz="0" w:space="0" w:color="auto"/>
        <w:right w:val="none" w:sz="0" w:space="0" w:color="auto"/>
      </w:divBdr>
    </w:div>
    <w:div w:id="1817919182">
      <w:bodyDiv w:val="1"/>
      <w:marLeft w:val="0"/>
      <w:marRight w:val="0"/>
      <w:marTop w:val="0"/>
      <w:marBottom w:val="0"/>
      <w:divBdr>
        <w:top w:val="none" w:sz="0" w:space="0" w:color="auto"/>
        <w:left w:val="none" w:sz="0" w:space="0" w:color="auto"/>
        <w:bottom w:val="none" w:sz="0" w:space="0" w:color="auto"/>
        <w:right w:val="none" w:sz="0" w:space="0" w:color="auto"/>
      </w:divBdr>
    </w:div>
    <w:div w:id="1888905525">
      <w:bodyDiv w:val="1"/>
      <w:marLeft w:val="0"/>
      <w:marRight w:val="0"/>
      <w:marTop w:val="0"/>
      <w:marBottom w:val="0"/>
      <w:divBdr>
        <w:top w:val="none" w:sz="0" w:space="0" w:color="auto"/>
        <w:left w:val="none" w:sz="0" w:space="0" w:color="auto"/>
        <w:bottom w:val="none" w:sz="0" w:space="0" w:color="auto"/>
        <w:right w:val="none" w:sz="0" w:space="0" w:color="auto"/>
      </w:divBdr>
    </w:div>
    <w:div w:id="2008287211">
      <w:bodyDiv w:val="1"/>
      <w:marLeft w:val="0"/>
      <w:marRight w:val="0"/>
      <w:marTop w:val="0"/>
      <w:marBottom w:val="0"/>
      <w:divBdr>
        <w:top w:val="none" w:sz="0" w:space="0" w:color="auto"/>
        <w:left w:val="none" w:sz="0" w:space="0" w:color="auto"/>
        <w:bottom w:val="none" w:sz="0" w:space="0" w:color="auto"/>
        <w:right w:val="none" w:sz="0" w:space="0" w:color="auto"/>
      </w:divBdr>
      <w:divsChild>
        <w:div w:id="1437210996">
          <w:marLeft w:val="0"/>
          <w:marRight w:val="0"/>
          <w:marTop w:val="0"/>
          <w:marBottom w:val="0"/>
          <w:divBdr>
            <w:top w:val="none" w:sz="0" w:space="0" w:color="auto"/>
            <w:left w:val="none" w:sz="0" w:space="0" w:color="auto"/>
            <w:bottom w:val="none" w:sz="0" w:space="0" w:color="auto"/>
            <w:right w:val="none" w:sz="0" w:space="0" w:color="auto"/>
          </w:divBdr>
        </w:div>
        <w:div w:id="1622031326">
          <w:marLeft w:val="0"/>
          <w:marRight w:val="0"/>
          <w:marTop w:val="0"/>
          <w:marBottom w:val="0"/>
          <w:divBdr>
            <w:top w:val="none" w:sz="0" w:space="0" w:color="auto"/>
            <w:left w:val="none" w:sz="0" w:space="0" w:color="auto"/>
            <w:bottom w:val="none" w:sz="0" w:space="0" w:color="auto"/>
            <w:right w:val="none" w:sz="0" w:space="0" w:color="auto"/>
          </w:divBdr>
        </w:div>
      </w:divsChild>
    </w:div>
    <w:div w:id="2079594430">
      <w:bodyDiv w:val="1"/>
      <w:marLeft w:val="0"/>
      <w:marRight w:val="0"/>
      <w:marTop w:val="0"/>
      <w:marBottom w:val="0"/>
      <w:divBdr>
        <w:top w:val="none" w:sz="0" w:space="0" w:color="auto"/>
        <w:left w:val="none" w:sz="0" w:space="0" w:color="auto"/>
        <w:bottom w:val="none" w:sz="0" w:space="0" w:color="auto"/>
        <w:right w:val="none" w:sz="0" w:space="0" w:color="auto"/>
      </w:divBdr>
      <w:divsChild>
        <w:div w:id="476335826">
          <w:marLeft w:val="0"/>
          <w:marRight w:val="0"/>
          <w:marTop w:val="0"/>
          <w:marBottom w:val="0"/>
          <w:divBdr>
            <w:top w:val="none" w:sz="0" w:space="0" w:color="auto"/>
            <w:left w:val="none" w:sz="0" w:space="0" w:color="auto"/>
            <w:bottom w:val="none" w:sz="0" w:space="0" w:color="auto"/>
            <w:right w:val="none" w:sz="0" w:space="0" w:color="auto"/>
          </w:divBdr>
        </w:div>
        <w:div w:id="202231907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edpsy.org.uk/blog/2021/a-transcultural-supervision-activity/" TargetMode="External"/><Relationship Id="rId26" Type="http://schemas.openxmlformats.org/officeDocument/2006/relationships/hyperlink" Target="https://link.springer.com/article/10.1007/s11218-025-10109-6" TargetMode="External"/><Relationship Id="rId39" Type="http://schemas.openxmlformats.org/officeDocument/2006/relationships/hyperlink" Target="https://forms.office.com/Pages/ShareFormPage.aspx?id=FcHYUH-3lUOjujtAfK8NiMnFPsownVhKuc8KFNHJ6sZURDhUTzFaUlRFNVpKMzhZME41UDRENE5DQi4u&amp;sharetoken=Ho0TR8FOHLZcQ0AFAdlL" TargetMode="External"/><Relationship Id="rId21" Type="http://schemas.openxmlformats.org/officeDocument/2006/relationships/hyperlink" Target="https://officesharedservice.sharepoint.com/sites/hfs/chssen/SENDDev/EP-SHARED/PES/PES/T.%20WORKING%20GROUPS/belonging%20and%20attendance/SCHOOL%20BELONGING%20PACK/A%20growing%20body%20of%20research%20highlights%20a%20strong%20link%20between%20students&#8217;%20sense%20of%20school%20belonging%20and%20their%20attendance%20patterns.%20When%20students%20feel%20accepted,%20respected,%20and%20connected%20within%20their%20school%20environment,%20they%20are%20more%20likely%20to%20attend%20regularly%20and%20engage%20meaningfully%20in%20learning.%20A%20meta-analytic%20review%20by%20Korpershoek%20et%20al.%20(2020)%20found%20a%20negative%20correlation%20between%20school%20belonging%20and%20absenteeism,%20indicating%20that%20students%20with%20a%20stronger%20sense%20of%20belonging%20are%20less%20likely%20to%20be%20absent%20or%20drop%20out1.%20Similarly,%20&#352;tremfel%20et%20al.%20(2024)%20emphasized%20that%20school%20belonging%20is%20a%20key%20predictor%20of%20behavioral%20outcomes,%20including%20attendance,%20and%20called%20for%20multi-level%20interventions%20to%20support%20students%20at%20risk%20of%20disengagement2.%20These%20findings%20underscore%20the%20importance%20of%20fostering%20inclusive,%20supportive%20school%20climates%20as%20a%20strategy%20not%20only%20for%20improving%20wellbeing%20but%20also%20for%20reducing%20chronic%20absenteeism%20and%20promoting%20educational%20equity." TargetMode="External"/><Relationship Id="rId34" Type="http://schemas.openxmlformats.org/officeDocument/2006/relationships/image" Target="media/image10.png"/><Relationship Id="rId42" Type="http://schemas.openxmlformats.org/officeDocument/2006/relationships/image" Target="media/image13.png"/><Relationship Id="rId47" Type="http://schemas.openxmlformats.org/officeDocument/2006/relationships/image" Target="media/image17.png"/><Relationship Id="rId50" Type="http://schemas.openxmlformats.org/officeDocument/2006/relationships/image" Target="media/image19.png"/><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search.asu.edu/profile/195089" TargetMode="External"/><Relationship Id="rId11" Type="http://schemas.openxmlformats.org/officeDocument/2006/relationships/image" Target="media/image1.jpg"/><Relationship Id="rId24" Type="http://schemas.openxmlformats.org/officeDocument/2006/relationships/hyperlink" Target="https://www.prweb.com/releases/new-study-reveals-impact-of-belonging-and-wellbeing-on-teacher-retention-302061064.html" TargetMode="External"/><Relationship Id="rId32" Type="http://schemas.openxmlformats.org/officeDocument/2006/relationships/image" Target="media/image9.png"/><Relationship Id="rId37" Type="http://schemas.openxmlformats.org/officeDocument/2006/relationships/image" Target="media/image12.png"/><Relationship Id="rId40" Type="http://schemas.openxmlformats.org/officeDocument/2006/relationships/hyperlink" Target="https://insa.network/cms/wp-content/uploads/2026/05/Perception-of-School-Social-Bonding-Instrument.pdf" TargetMode="External"/><Relationship Id="rId45" Type="http://schemas.openxmlformats.org/officeDocument/2006/relationships/image" Target="media/image16.png"/><Relationship Id="rId53" Type="http://schemas.openxmlformats.org/officeDocument/2006/relationships/hyperlink" Target="https://crane.osu.edu/our-work/rebuilding-connections-post-covid-the-importance-of-school-belonging-for-addressing-absenteeism/" TargetMode="External"/><Relationship Id="rId5" Type="http://schemas.openxmlformats.org/officeDocument/2006/relationships/numbering" Target="numbering.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mdpi.com/2254-9625/14/11/190" TargetMode="External"/><Relationship Id="rId27" Type="http://schemas.openxmlformats.org/officeDocument/2006/relationships/hyperlink" Target="https://www.focusonemotions.nl/nl/research-collaborators/david-heyne-dr" TargetMode="External"/><Relationship Id="rId30" Type="http://schemas.openxmlformats.org/officeDocument/2006/relationships/hyperlink" Target="https://www.ucl.ac.uk/ioe/people/academics/learning-and-leadership/qa-professor-kathryn-riley" TargetMode="External"/><Relationship Id="rId35" Type="http://schemas.openxmlformats.org/officeDocument/2006/relationships/hyperlink" Target="https://www.tandfonline.com/doi/full/10.1080/02667363.2022.2070456?scroll=top&amp;needAccess=true" TargetMode="External"/><Relationship Id="rId43" Type="http://schemas.openxmlformats.org/officeDocument/2006/relationships/image" Target="media/image14.jpeg"/><Relationship Id="rId48" Type="http://schemas.openxmlformats.org/officeDocument/2006/relationships/image" Target="media/image18.pn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schoolwellbeingcards.co.u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neu.org.uk/advice/classroom/behaviour-schools/creating-sense-place-and-belonging-schools/theme-3-belonging-and-agency" TargetMode="External"/><Relationship Id="rId33" Type="http://schemas.openxmlformats.org/officeDocument/2006/relationships/hyperlink" Target="https://www.theartofpossibilities.org.uk/docs/ARTICLE3.pdf" TargetMode="External"/><Relationship Id="rId38" Type="http://schemas.openxmlformats.org/officeDocument/2006/relationships/hyperlink" Target="https://www.theartofpossibilities.org.uk/docs/ARTICLE3.pdf" TargetMode="External"/><Relationship Id="rId46" Type="http://schemas.openxmlformats.org/officeDocument/2006/relationships/hyperlink" Target="https://www.kirkleeslocaloffer.org.uk/sendco-professional-information-and-resources-page/support-plans-i-apdr-msp-s-iep-s/path-planning-alternative-tomorrows-with-hope/" TargetMode="External"/><Relationship Id="rId20" Type="http://schemas.openxmlformats.org/officeDocument/2006/relationships/hyperlink" Target="https://www.tandfonline.com/doi/pdf/10.1080/02671522.2019.1615116" TargetMode="External"/><Relationship Id="rId41" Type="http://schemas.openxmlformats.org/officeDocument/2006/relationships/hyperlink" Target="https://www.google.co.uk/url?sa=t&amp;rct=j&amp;q=&amp;esrc=s&amp;source=web&amp;cd=&amp;ved=2ahUKEwjlg9uSyIGUAxU9UaQEHWFvB1AQFnoECBoQAQ&amp;url=https%3A%2F%2Fwww.headstartkernow.org.uk%2FHSK%2520uploads%2FWSA%2FForFigshare.SchoolBelongingScale.docx&amp;usg=AOvVaw1bTtL4-cIlvcFBzRYlv4bX&amp;opi=89978449" TargetMode="External"/><Relationship Id="rId54" Type="http://schemas.openxmlformats.org/officeDocument/2006/relationships/hyperlink" Target="https://www.frontiersin.org/journals/psychology/articles/10.3389/fpsyg.2020.602242/ful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oasis.library.unlv.edu/psychology_fac_articles/465/" TargetMode="External"/><Relationship Id="rId28" Type="http://schemas.openxmlformats.org/officeDocument/2006/relationships/hyperlink" Target="https://www.drkellyallen.com/" TargetMode="External"/><Relationship Id="rId36" Type="http://schemas.openxmlformats.org/officeDocument/2006/relationships/image" Target="media/image11.jpeg"/><Relationship Id="rId49" Type="http://schemas.openxmlformats.org/officeDocument/2006/relationships/hyperlink" Target="https://edpsy.org.uk/blog/2020/drawing-the-ideal-safe-school-an-optimistic-approach-to-returning-to-school/"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ucl.ac.uk/ioe/departments-and-centres/ucl-centre-educational-leadership/research/creating-place-and-belonging-schools" TargetMode="External"/><Relationship Id="rId44" Type="http://schemas.openxmlformats.org/officeDocument/2006/relationships/image" Target="media/image15.png"/><Relationship Id="rId52" Type="http://schemas.openxmlformats.org/officeDocument/2006/relationships/hyperlink" Target="https://www.ucl.ac.uk/ioe/departments-and-centres/ucl-centre-educational-leadership/research/creating-place-and-belonging-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A6DE5ED95FD4A89E64AE745B6B7E9" ma:contentTypeVersion="13" ma:contentTypeDescription="Create a new document." ma:contentTypeScope="" ma:versionID="7e605a379d1dfff213b591d8b402010c">
  <xsd:schema xmlns:xsd="http://www.w3.org/2001/XMLSchema" xmlns:xs="http://www.w3.org/2001/XMLSchema" xmlns:p="http://schemas.microsoft.com/office/2006/metadata/properties" xmlns:ns2="09396b58-ec22-4d73-8e8a-50246b0eed9f" xmlns:ns3="94c31e73-8793-45d3-8139-da36f1e3d8ec" targetNamespace="http://schemas.microsoft.com/office/2006/metadata/properties" ma:root="true" ma:fieldsID="e9d7e4ee07060bc1baabec6c7f6ac46c" ns2:_="" ns3:_="">
    <xsd:import namespace="09396b58-ec22-4d73-8e8a-50246b0eed9f"/>
    <xsd:import namespace="94c31e73-8793-45d3-8139-da36f1e3d8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96b58-ec22-4d73-8e8a-50246b0ee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8bb61a9-1cb6-416b-8dcb-4ddbf3c41ee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1e73-8793-45d3-8139-da36f1e3d8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f9311c-1376-4604-b1e6-b5302f04fb82}" ma:internalName="TaxCatchAll" ma:showField="CatchAllData" ma:web="94c31e73-8793-45d3-8139-da36f1e3d8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c31e73-8793-45d3-8139-da36f1e3d8ec" xsi:nil="true"/>
    <lcf76f155ced4ddcb4097134ff3c332f xmlns="09396b58-ec22-4d73-8e8a-50246b0eed9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F051F2-9BAF-4AB8-852C-33125B50B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96b58-ec22-4d73-8e8a-50246b0eed9f"/>
    <ds:schemaRef ds:uri="94c31e73-8793-45d3-8139-da36f1e3d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E94CDE-9E1E-46F3-9514-5AA1692F2A9E}">
  <ds:schemaRefs>
    <ds:schemaRef ds:uri="http://schemas.microsoft.com/office/2006/metadata/properties"/>
    <ds:schemaRef ds:uri="http://schemas.microsoft.com/office/infopath/2007/PartnerControls"/>
    <ds:schemaRef ds:uri="94c31e73-8793-45d3-8139-da36f1e3d8ec"/>
    <ds:schemaRef ds:uri="09396b58-ec22-4d73-8e8a-50246b0eed9f"/>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EC1A3D3-87BE-4860-8044-EA2BD8948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26</Pages>
  <Words>5503</Words>
  <Characters>31373</Characters>
  <Application>Microsoft Office Word</Application>
  <DocSecurity>0</DocSecurity>
  <Lines>261</Lines>
  <Paragraphs>73</Paragraphs>
  <ScaleCrop>false</ScaleCrop>
  <Manager/>
  <Company/>
  <LinksUpToDate>false</LinksUpToDate>
  <CharactersWithSpaces>36803</CharactersWithSpaces>
  <SharedDoc>false</SharedDoc>
  <HyperlinkBase/>
  <HLinks>
    <vt:vector size="342" baseType="variant">
      <vt:variant>
        <vt:i4>5308484</vt:i4>
      </vt:variant>
      <vt:variant>
        <vt:i4>285</vt:i4>
      </vt:variant>
      <vt:variant>
        <vt:i4>0</vt:i4>
      </vt:variant>
      <vt:variant>
        <vt:i4>5</vt:i4>
      </vt:variant>
      <vt:variant>
        <vt:lpwstr>https://www.ucl.ac.uk/ioe/departments-and-centres/ucl-centre-educational-leadership/research/creating-place-and-belonging-schools</vt:lpwstr>
      </vt:variant>
      <vt:variant>
        <vt:lpwstr/>
      </vt:variant>
      <vt:variant>
        <vt:i4>7864381</vt:i4>
      </vt:variant>
      <vt:variant>
        <vt:i4>282</vt:i4>
      </vt:variant>
      <vt:variant>
        <vt:i4>0</vt:i4>
      </vt:variant>
      <vt:variant>
        <vt:i4>5</vt:i4>
      </vt:variant>
      <vt:variant>
        <vt:lpwstr>https://www.google.co.uk/url?sa=t&amp;rct=j&amp;q=&amp;esrc=s&amp;source=web&amp;cd=&amp;ved=2ahUKEwjlg9uSyIGUAxU9UaQEHWFvB1AQFnoECBoQAQ&amp;url=https%3A%2F%2Fwww.headstartkernow.org.uk%2FHSK%2520uploads%2FWSA%2FForFigshare.SchoolBelongingScale.docx&amp;usg=AOvVaw1bTtL4-cIlvcFBzRYlv4bX&amp;opi=89978449</vt:lpwstr>
      </vt:variant>
      <vt:variant>
        <vt:lpwstr/>
      </vt:variant>
      <vt:variant>
        <vt:i4>7471139</vt:i4>
      </vt:variant>
      <vt:variant>
        <vt:i4>279</vt:i4>
      </vt:variant>
      <vt:variant>
        <vt:i4>0</vt:i4>
      </vt:variant>
      <vt:variant>
        <vt:i4>5</vt:i4>
      </vt:variant>
      <vt:variant>
        <vt:lpwstr>https://insa.network/cms/wp-content/uploads/2026/05/Perception-of-School-Social-Bonding-Instrument.pdf</vt:lpwstr>
      </vt:variant>
      <vt:variant>
        <vt:lpwstr/>
      </vt:variant>
      <vt:variant>
        <vt:i4>4653132</vt:i4>
      </vt:variant>
      <vt:variant>
        <vt:i4>276</vt:i4>
      </vt:variant>
      <vt:variant>
        <vt:i4>0</vt:i4>
      </vt:variant>
      <vt:variant>
        <vt:i4>5</vt:i4>
      </vt:variant>
      <vt:variant>
        <vt:lpwstr>https://forms.office.com/Pages/ShareFormPage.aspx?id=FcHYUH-3lUOjujtAfK8NiMnFPsownVhKuc8KFNHJ6sZURDhUTzFaUlRFNVpKMzhZME41UDRENE5DQi4u&amp;sharetoken=Ho0TR8FOHLZcQ0AFAdlL</vt:lpwstr>
      </vt:variant>
      <vt:variant>
        <vt:lpwstr/>
      </vt:variant>
      <vt:variant>
        <vt:i4>3342379</vt:i4>
      </vt:variant>
      <vt:variant>
        <vt:i4>273</vt:i4>
      </vt:variant>
      <vt:variant>
        <vt:i4>0</vt:i4>
      </vt:variant>
      <vt:variant>
        <vt:i4>5</vt:i4>
      </vt:variant>
      <vt:variant>
        <vt:lpwstr>https://www.theartofpossibilities.org.uk/docs/ARTICLE3.pdf</vt:lpwstr>
      </vt:variant>
      <vt:variant>
        <vt:lpwstr/>
      </vt:variant>
      <vt:variant>
        <vt:i4>4718623</vt:i4>
      </vt:variant>
      <vt:variant>
        <vt:i4>270</vt:i4>
      </vt:variant>
      <vt:variant>
        <vt:i4>0</vt:i4>
      </vt:variant>
      <vt:variant>
        <vt:i4>5</vt:i4>
      </vt:variant>
      <vt:variant>
        <vt:lpwstr>https://www.tandfonline.com/doi/full/10.1080/02667363.2022.2070456?scroll=top&amp;needAccess=true</vt:lpwstr>
      </vt:variant>
      <vt:variant>
        <vt:lpwstr/>
      </vt:variant>
      <vt:variant>
        <vt:i4>3342379</vt:i4>
      </vt:variant>
      <vt:variant>
        <vt:i4>267</vt:i4>
      </vt:variant>
      <vt:variant>
        <vt:i4>0</vt:i4>
      </vt:variant>
      <vt:variant>
        <vt:i4>5</vt:i4>
      </vt:variant>
      <vt:variant>
        <vt:lpwstr>https://www.theartofpossibilities.org.uk/docs/ARTICLE3.pdf</vt:lpwstr>
      </vt:variant>
      <vt:variant>
        <vt:lpwstr/>
      </vt:variant>
      <vt:variant>
        <vt:i4>5308484</vt:i4>
      </vt:variant>
      <vt:variant>
        <vt:i4>264</vt:i4>
      </vt:variant>
      <vt:variant>
        <vt:i4>0</vt:i4>
      </vt:variant>
      <vt:variant>
        <vt:i4>5</vt:i4>
      </vt:variant>
      <vt:variant>
        <vt:lpwstr>https://www.ucl.ac.uk/ioe/departments-and-centres/ucl-centre-educational-leadership/research/creating-place-and-belonging-schools</vt:lpwstr>
      </vt:variant>
      <vt:variant>
        <vt:lpwstr/>
      </vt:variant>
      <vt:variant>
        <vt:i4>5439565</vt:i4>
      </vt:variant>
      <vt:variant>
        <vt:i4>261</vt:i4>
      </vt:variant>
      <vt:variant>
        <vt:i4>0</vt:i4>
      </vt:variant>
      <vt:variant>
        <vt:i4>5</vt:i4>
      </vt:variant>
      <vt:variant>
        <vt:lpwstr>https://www.ucl.ac.uk/ioe/people/academics/learning-and-leadership/qa-professor-kathryn-riley</vt:lpwstr>
      </vt:variant>
      <vt:variant>
        <vt:lpwstr/>
      </vt:variant>
      <vt:variant>
        <vt:i4>4522071</vt:i4>
      </vt:variant>
      <vt:variant>
        <vt:i4>258</vt:i4>
      </vt:variant>
      <vt:variant>
        <vt:i4>0</vt:i4>
      </vt:variant>
      <vt:variant>
        <vt:i4>5</vt:i4>
      </vt:variant>
      <vt:variant>
        <vt:lpwstr>https://search.asu.edu/profile/195089</vt:lpwstr>
      </vt:variant>
      <vt:variant>
        <vt:lpwstr/>
      </vt:variant>
      <vt:variant>
        <vt:i4>6160402</vt:i4>
      </vt:variant>
      <vt:variant>
        <vt:i4>255</vt:i4>
      </vt:variant>
      <vt:variant>
        <vt:i4>0</vt:i4>
      </vt:variant>
      <vt:variant>
        <vt:i4>5</vt:i4>
      </vt:variant>
      <vt:variant>
        <vt:lpwstr>https://www.drkellyallen.com/</vt:lpwstr>
      </vt:variant>
      <vt:variant>
        <vt:lpwstr/>
      </vt:variant>
      <vt:variant>
        <vt:i4>3342439</vt:i4>
      </vt:variant>
      <vt:variant>
        <vt:i4>252</vt:i4>
      </vt:variant>
      <vt:variant>
        <vt:i4>0</vt:i4>
      </vt:variant>
      <vt:variant>
        <vt:i4>5</vt:i4>
      </vt:variant>
      <vt:variant>
        <vt:lpwstr>https://www.focusonemotions.nl/nl/research-collaborators/david-heyne-dr</vt:lpwstr>
      </vt:variant>
      <vt:variant>
        <vt:lpwstr/>
      </vt:variant>
      <vt:variant>
        <vt:i4>8323199</vt:i4>
      </vt:variant>
      <vt:variant>
        <vt:i4>249</vt:i4>
      </vt:variant>
      <vt:variant>
        <vt:i4>0</vt:i4>
      </vt:variant>
      <vt:variant>
        <vt:i4>5</vt:i4>
      </vt:variant>
      <vt:variant>
        <vt:lpwstr>https://link.springer.com/article/10.1007/s11218-025-10109-6</vt:lpwstr>
      </vt:variant>
      <vt:variant>
        <vt:lpwstr>citeas</vt:lpwstr>
      </vt:variant>
      <vt:variant>
        <vt:i4>5701663</vt:i4>
      </vt:variant>
      <vt:variant>
        <vt:i4>246</vt:i4>
      </vt:variant>
      <vt:variant>
        <vt:i4>0</vt:i4>
      </vt:variant>
      <vt:variant>
        <vt:i4>5</vt:i4>
      </vt:variant>
      <vt:variant>
        <vt:lpwstr>https://neu.org.uk/advice/classroom/behaviour-schools/creating-sense-place-and-belonging-schools/theme-3-belonging-and-agency</vt:lpwstr>
      </vt:variant>
      <vt:variant>
        <vt:lpwstr/>
      </vt:variant>
      <vt:variant>
        <vt:i4>6750314</vt:i4>
      </vt:variant>
      <vt:variant>
        <vt:i4>243</vt:i4>
      </vt:variant>
      <vt:variant>
        <vt:i4>0</vt:i4>
      </vt:variant>
      <vt:variant>
        <vt:i4>5</vt:i4>
      </vt:variant>
      <vt:variant>
        <vt:lpwstr>https://www.prweb.com/releases/new-study-reveals-impact-of-belonging-and-wellbeing-on-teacher-retention-302061064.html</vt:lpwstr>
      </vt:variant>
      <vt:variant>
        <vt:lpwstr/>
      </vt:variant>
      <vt:variant>
        <vt:i4>7733283</vt:i4>
      </vt:variant>
      <vt:variant>
        <vt:i4>240</vt:i4>
      </vt:variant>
      <vt:variant>
        <vt:i4>0</vt:i4>
      </vt:variant>
      <vt:variant>
        <vt:i4>5</vt:i4>
      </vt:variant>
      <vt:variant>
        <vt:lpwstr>https://oasis.library.unlv.edu/psychology_fac_articles/465/</vt:lpwstr>
      </vt:variant>
      <vt:variant>
        <vt:lpwstr/>
      </vt:variant>
      <vt:variant>
        <vt:i4>4980738</vt:i4>
      </vt:variant>
      <vt:variant>
        <vt:i4>237</vt:i4>
      </vt:variant>
      <vt:variant>
        <vt:i4>0</vt:i4>
      </vt:variant>
      <vt:variant>
        <vt:i4>5</vt:i4>
      </vt:variant>
      <vt:variant>
        <vt:lpwstr>https://www.mdpi.com/2254-9625/14/11/190</vt:lpwstr>
      </vt:variant>
      <vt:variant>
        <vt:lpwstr/>
      </vt:variant>
      <vt:variant>
        <vt:i4>538247285</vt:i4>
      </vt:variant>
      <vt:variant>
        <vt:i4>234</vt:i4>
      </vt:variant>
      <vt:variant>
        <vt:i4>0</vt:i4>
      </vt:variant>
      <vt:variant>
        <vt:i4>5</vt:i4>
      </vt:variant>
      <vt:variant>
        <vt:lpwstr>https://officesharedservice.sharepoint.com/sites/hfs/chssen/SENDDev/EP-SHARED/PES/PES/T.%20WORKING%20GROUPS/belonging%20and%20attendance/SCHOOL%20BELONGING%20PACK/A%20growing%20body%20of%20research%20highlights%20a%20strong%20link%20between%20students’%20sense%20of%20school%20belonging%20and%20their%20attendance%20patterns.%20When%20students%20feel%20accepted,%20respected,%20and%20connected%20within%20their%20school%20environment,%20they%20are%20more%20likely%20to%20attend%20regularly%20and%20engage%20meaningfully%20in%20learning.%20A%20meta-analytic%20review%20by%20Korpershoek%20et%20al.%20(2020)%20found%20a%20negative%20correlation%20between%20school%20belonging%20and%20absenteeism,%20indicating%20that%20students%20with%20a%20stronger%20sense%20of%20belonging%20are%20less%20likely%20to%20be%20absent%20or%20drop%20out1.%20Similarly,%20Štremfel%20et%20al.%20(2024)%20emphasized%20that%20school%20belonging%20is%20a%20key%20predictor%20of%20behavioral%20outcomes,%20including%20attendance,%20and%20called%20for%20multi-level%20interventions%20to%20support%20students%20at%20risk%20of%20disengagement2.%20These%20findings%20underscore%20the%20importance%20of%20fostering%20inclusive,%20supportive%20school%20climates%20as%20a%20strategy%20not%20only%20for%20improving%20wellbeing%20but%20also%20for%20reducing%20chronic%20absenteeism%20and%20promoting%20educational%20equity.</vt:lpwstr>
      </vt:variant>
      <vt:variant>
        <vt:lpwstr/>
      </vt:variant>
      <vt:variant>
        <vt:i4>5111879</vt:i4>
      </vt:variant>
      <vt:variant>
        <vt:i4>231</vt:i4>
      </vt:variant>
      <vt:variant>
        <vt:i4>0</vt:i4>
      </vt:variant>
      <vt:variant>
        <vt:i4>5</vt:i4>
      </vt:variant>
      <vt:variant>
        <vt:lpwstr>https://www.tandfonline.com/doi/pdf/10.1080/02671522.2019.1615116</vt:lpwstr>
      </vt:variant>
      <vt:variant>
        <vt:lpwstr/>
      </vt:variant>
      <vt:variant>
        <vt:i4>1048635</vt:i4>
      </vt:variant>
      <vt:variant>
        <vt:i4>224</vt:i4>
      </vt:variant>
      <vt:variant>
        <vt:i4>0</vt:i4>
      </vt:variant>
      <vt:variant>
        <vt:i4>5</vt:i4>
      </vt:variant>
      <vt:variant>
        <vt:lpwstr/>
      </vt:variant>
      <vt:variant>
        <vt:lpwstr>_Toc227761831</vt:lpwstr>
      </vt:variant>
      <vt:variant>
        <vt:i4>1048635</vt:i4>
      </vt:variant>
      <vt:variant>
        <vt:i4>218</vt:i4>
      </vt:variant>
      <vt:variant>
        <vt:i4>0</vt:i4>
      </vt:variant>
      <vt:variant>
        <vt:i4>5</vt:i4>
      </vt:variant>
      <vt:variant>
        <vt:lpwstr/>
      </vt:variant>
      <vt:variant>
        <vt:lpwstr>_Toc227761830</vt:lpwstr>
      </vt:variant>
      <vt:variant>
        <vt:i4>1114171</vt:i4>
      </vt:variant>
      <vt:variant>
        <vt:i4>212</vt:i4>
      </vt:variant>
      <vt:variant>
        <vt:i4>0</vt:i4>
      </vt:variant>
      <vt:variant>
        <vt:i4>5</vt:i4>
      </vt:variant>
      <vt:variant>
        <vt:lpwstr/>
      </vt:variant>
      <vt:variant>
        <vt:lpwstr>_Toc227761829</vt:lpwstr>
      </vt:variant>
      <vt:variant>
        <vt:i4>1114171</vt:i4>
      </vt:variant>
      <vt:variant>
        <vt:i4>206</vt:i4>
      </vt:variant>
      <vt:variant>
        <vt:i4>0</vt:i4>
      </vt:variant>
      <vt:variant>
        <vt:i4>5</vt:i4>
      </vt:variant>
      <vt:variant>
        <vt:lpwstr/>
      </vt:variant>
      <vt:variant>
        <vt:lpwstr>_Toc227761828</vt:lpwstr>
      </vt:variant>
      <vt:variant>
        <vt:i4>1114171</vt:i4>
      </vt:variant>
      <vt:variant>
        <vt:i4>200</vt:i4>
      </vt:variant>
      <vt:variant>
        <vt:i4>0</vt:i4>
      </vt:variant>
      <vt:variant>
        <vt:i4>5</vt:i4>
      </vt:variant>
      <vt:variant>
        <vt:lpwstr/>
      </vt:variant>
      <vt:variant>
        <vt:lpwstr>_Toc227761827</vt:lpwstr>
      </vt:variant>
      <vt:variant>
        <vt:i4>1114171</vt:i4>
      </vt:variant>
      <vt:variant>
        <vt:i4>194</vt:i4>
      </vt:variant>
      <vt:variant>
        <vt:i4>0</vt:i4>
      </vt:variant>
      <vt:variant>
        <vt:i4>5</vt:i4>
      </vt:variant>
      <vt:variant>
        <vt:lpwstr/>
      </vt:variant>
      <vt:variant>
        <vt:lpwstr>_Toc227761826</vt:lpwstr>
      </vt:variant>
      <vt:variant>
        <vt:i4>1114171</vt:i4>
      </vt:variant>
      <vt:variant>
        <vt:i4>188</vt:i4>
      </vt:variant>
      <vt:variant>
        <vt:i4>0</vt:i4>
      </vt:variant>
      <vt:variant>
        <vt:i4>5</vt:i4>
      </vt:variant>
      <vt:variant>
        <vt:lpwstr/>
      </vt:variant>
      <vt:variant>
        <vt:lpwstr>_Toc227761825</vt:lpwstr>
      </vt:variant>
      <vt:variant>
        <vt:i4>1114171</vt:i4>
      </vt:variant>
      <vt:variant>
        <vt:i4>182</vt:i4>
      </vt:variant>
      <vt:variant>
        <vt:i4>0</vt:i4>
      </vt:variant>
      <vt:variant>
        <vt:i4>5</vt:i4>
      </vt:variant>
      <vt:variant>
        <vt:lpwstr/>
      </vt:variant>
      <vt:variant>
        <vt:lpwstr>_Toc227761824</vt:lpwstr>
      </vt:variant>
      <vt:variant>
        <vt:i4>1114171</vt:i4>
      </vt:variant>
      <vt:variant>
        <vt:i4>176</vt:i4>
      </vt:variant>
      <vt:variant>
        <vt:i4>0</vt:i4>
      </vt:variant>
      <vt:variant>
        <vt:i4>5</vt:i4>
      </vt:variant>
      <vt:variant>
        <vt:lpwstr/>
      </vt:variant>
      <vt:variant>
        <vt:lpwstr>_Toc227761823</vt:lpwstr>
      </vt:variant>
      <vt:variant>
        <vt:i4>1114171</vt:i4>
      </vt:variant>
      <vt:variant>
        <vt:i4>170</vt:i4>
      </vt:variant>
      <vt:variant>
        <vt:i4>0</vt:i4>
      </vt:variant>
      <vt:variant>
        <vt:i4>5</vt:i4>
      </vt:variant>
      <vt:variant>
        <vt:lpwstr/>
      </vt:variant>
      <vt:variant>
        <vt:lpwstr>_Toc227761822</vt:lpwstr>
      </vt:variant>
      <vt:variant>
        <vt:i4>1114171</vt:i4>
      </vt:variant>
      <vt:variant>
        <vt:i4>164</vt:i4>
      </vt:variant>
      <vt:variant>
        <vt:i4>0</vt:i4>
      </vt:variant>
      <vt:variant>
        <vt:i4>5</vt:i4>
      </vt:variant>
      <vt:variant>
        <vt:lpwstr/>
      </vt:variant>
      <vt:variant>
        <vt:lpwstr>_Toc227761821</vt:lpwstr>
      </vt:variant>
      <vt:variant>
        <vt:i4>1114171</vt:i4>
      </vt:variant>
      <vt:variant>
        <vt:i4>158</vt:i4>
      </vt:variant>
      <vt:variant>
        <vt:i4>0</vt:i4>
      </vt:variant>
      <vt:variant>
        <vt:i4>5</vt:i4>
      </vt:variant>
      <vt:variant>
        <vt:lpwstr/>
      </vt:variant>
      <vt:variant>
        <vt:lpwstr>_Toc227761820</vt:lpwstr>
      </vt:variant>
      <vt:variant>
        <vt:i4>1179707</vt:i4>
      </vt:variant>
      <vt:variant>
        <vt:i4>152</vt:i4>
      </vt:variant>
      <vt:variant>
        <vt:i4>0</vt:i4>
      </vt:variant>
      <vt:variant>
        <vt:i4>5</vt:i4>
      </vt:variant>
      <vt:variant>
        <vt:lpwstr/>
      </vt:variant>
      <vt:variant>
        <vt:lpwstr>_Toc227761819</vt:lpwstr>
      </vt:variant>
      <vt:variant>
        <vt:i4>1179707</vt:i4>
      </vt:variant>
      <vt:variant>
        <vt:i4>146</vt:i4>
      </vt:variant>
      <vt:variant>
        <vt:i4>0</vt:i4>
      </vt:variant>
      <vt:variant>
        <vt:i4>5</vt:i4>
      </vt:variant>
      <vt:variant>
        <vt:lpwstr/>
      </vt:variant>
      <vt:variant>
        <vt:lpwstr>_Toc227761818</vt:lpwstr>
      </vt:variant>
      <vt:variant>
        <vt:i4>1179707</vt:i4>
      </vt:variant>
      <vt:variant>
        <vt:i4>140</vt:i4>
      </vt:variant>
      <vt:variant>
        <vt:i4>0</vt:i4>
      </vt:variant>
      <vt:variant>
        <vt:i4>5</vt:i4>
      </vt:variant>
      <vt:variant>
        <vt:lpwstr/>
      </vt:variant>
      <vt:variant>
        <vt:lpwstr>_Toc227761817</vt:lpwstr>
      </vt:variant>
      <vt:variant>
        <vt:i4>1179707</vt:i4>
      </vt:variant>
      <vt:variant>
        <vt:i4>134</vt:i4>
      </vt:variant>
      <vt:variant>
        <vt:i4>0</vt:i4>
      </vt:variant>
      <vt:variant>
        <vt:i4>5</vt:i4>
      </vt:variant>
      <vt:variant>
        <vt:lpwstr/>
      </vt:variant>
      <vt:variant>
        <vt:lpwstr>_Toc227761816</vt:lpwstr>
      </vt:variant>
      <vt:variant>
        <vt:i4>1179707</vt:i4>
      </vt:variant>
      <vt:variant>
        <vt:i4>128</vt:i4>
      </vt:variant>
      <vt:variant>
        <vt:i4>0</vt:i4>
      </vt:variant>
      <vt:variant>
        <vt:i4>5</vt:i4>
      </vt:variant>
      <vt:variant>
        <vt:lpwstr/>
      </vt:variant>
      <vt:variant>
        <vt:lpwstr>_Toc227761815</vt:lpwstr>
      </vt:variant>
      <vt:variant>
        <vt:i4>1179707</vt:i4>
      </vt:variant>
      <vt:variant>
        <vt:i4>122</vt:i4>
      </vt:variant>
      <vt:variant>
        <vt:i4>0</vt:i4>
      </vt:variant>
      <vt:variant>
        <vt:i4>5</vt:i4>
      </vt:variant>
      <vt:variant>
        <vt:lpwstr/>
      </vt:variant>
      <vt:variant>
        <vt:lpwstr>_Toc227761814</vt:lpwstr>
      </vt:variant>
      <vt:variant>
        <vt:i4>1179707</vt:i4>
      </vt:variant>
      <vt:variant>
        <vt:i4>116</vt:i4>
      </vt:variant>
      <vt:variant>
        <vt:i4>0</vt:i4>
      </vt:variant>
      <vt:variant>
        <vt:i4>5</vt:i4>
      </vt:variant>
      <vt:variant>
        <vt:lpwstr/>
      </vt:variant>
      <vt:variant>
        <vt:lpwstr>_Toc227761813</vt:lpwstr>
      </vt:variant>
      <vt:variant>
        <vt:i4>1179707</vt:i4>
      </vt:variant>
      <vt:variant>
        <vt:i4>110</vt:i4>
      </vt:variant>
      <vt:variant>
        <vt:i4>0</vt:i4>
      </vt:variant>
      <vt:variant>
        <vt:i4>5</vt:i4>
      </vt:variant>
      <vt:variant>
        <vt:lpwstr/>
      </vt:variant>
      <vt:variant>
        <vt:lpwstr>_Toc227761812</vt:lpwstr>
      </vt:variant>
      <vt:variant>
        <vt:i4>1179707</vt:i4>
      </vt:variant>
      <vt:variant>
        <vt:i4>104</vt:i4>
      </vt:variant>
      <vt:variant>
        <vt:i4>0</vt:i4>
      </vt:variant>
      <vt:variant>
        <vt:i4>5</vt:i4>
      </vt:variant>
      <vt:variant>
        <vt:lpwstr/>
      </vt:variant>
      <vt:variant>
        <vt:lpwstr>_Toc227761811</vt:lpwstr>
      </vt:variant>
      <vt:variant>
        <vt:i4>1179707</vt:i4>
      </vt:variant>
      <vt:variant>
        <vt:i4>98</vt:i4>
      </vt:variant>
      <vt:variant>
        <vt:i4>0</vt:i4>
      </vt:variant>
      <vt:variant>
        <vt:i4>5</vt:i4>
      </vt:variant>
      <vt:variant>
        <vt:lpwstr/>
      </vt:variant>
      <vt:variant>
        <vt:lpwstr>_Toc227761810</vt:lpwstr>
      </vt:variant>
      <vt:variant>
        <vt:i4>1245243</vt:i4>
      </vt:variant>
      <vt:variant>
        <vt:i4>92</vt:i4>
      </vt:variant>
      <vt:variant>
        <vt:i4>0</vt:i4>
      </vt:variant>
      <vt:variant>
        <vt:i4>5</vt:i4>
      </vt:variant>
      <vt:variant>
        <vt:lpwstr/>
      </vt:variant>
      <vt:variant>
        <vt:lpwstr>_Toc227761809</vt:lpwstr>
      </vt:variant>
      <vt:variant>
        <vt:i4>1245243</vt:i4>
      </vt:variant>
      <vt:variant>
        <vt:i4>86</vt:i4>
      </vt:variant>
      <vt:variant>
        <vt:i4>0</vt:i4>
      </vt:variant>
      <vt:variant>
        <vt:i4>5</vt:i4>
      </vt:variant>
      <vt:variant>
        <vt:lpwstr/>
      </vt:variant>
      <vt:variant>
        <vt:lpwstr>_Toc227761808</vt:lpwstr>
      </vt:variant>
      <vt:variant>
        <vt:i4>1245243</vt:i4>
      </vt:variant>
      <vt:variant>
        <vt:i4>80</vt:i4>
      </vt:variant>
      <vt:variant>
        <vt:i4>0</vt:i4>
      </vt:variant>
      <vt:variant>
        <vt:i4>5</vt:i4>
      </vt:variant>
      <vt:variant>
        <vt:lpwstr/>
      </vt:variant>
      <vt:variant>
        <vt:lpwstr>_Toc227761807</vt:lpwstr>
      </vt:variant>
      <vt:variant>
        <vt:i4>1245243</vt:i4>
      </vt:variant>
      <vt:variant>
        <vt:i4>74</vt:i4>
      </vt:variant>
      <vt:variant>
        <vt:i4>0</vt:i4>
      </vt:variant>
      <vt:variant>
        <vt:i4>5</vt:i4>
      </vt:variant>
      <vt:variant>
        <vt:lpwstr/>
      </vt:variant>
      <vt:variant>
        <vt:lpwstr>_Toc227761806</vt:lpwstr>
      </vt:variant>
      <vt:variant>
        <vt:i4>1245243</vt:i4>
      </vt:variant>
      <vt:variant>
        <vt:i4>68</vt:i4>
      </vt:variant>
      <vt:variant>
        <vt:i4>0</vt:i4>
      </vt:variant>
      <vt:variant>
        <vt:i4>5</vt:i4>
      </vt:variant>
      <vt:variant>
        <vt:lpwstr/>
      </vt:variant>
      <vt:variant>
        <vt:lpwstr>_Toc227761805</vt:lpwstr>
      </vt:variant>
      <vt:variant>
        <vt:i4>1245243</vt:i4>
      </vt:variant>
      <vt:variant>
        <vt:i4>62</vt:i4>
      </vt:variant>
      <vt:variant>
        <vt:i4>0</vt:i4>
      </vt:variant>
      <vt:variant>
        <vt:i4>5</vt:i4>
      </vt:variant>
      <vt:variant>
        <vt:lpwstr/>
      </vt:variant>
      <vt:variant>
        <vt:lpwstr>_Toc227761804</vt:lpwstr>
      </vt:variant>
      <vt:variant>
        <vt:i4>1245243</vt:i4>
      </vt:variant>
      <vt:variant>
        <vt:i4>56</vt:i4>
      </vt:variant>
      <vt:variant>
        <vt:i4>0</vt:i4>
      </vt:variant>
      <vt:variant>
        <vt:i4>5</vt:i4>
      </vt:variant>
      <vt:variant>
        <vt:lpwstr/>
      </vt:variant>
      <vt:variant>
        <vt:lpwstr>_Toc227761803</vt:lpwstr>
      </vt:variant>
      <vt:variant>
        <vt:i4>1245243</vt:i4>
      </vt:variant>
      <vt:variant>
        <vt:i4>50</vt:i4>
      </vt:variant>
      <vt:variant>
        <vt:i4>0</vt:i4>
      </vt:variant>
      <vt:variant>
        <vt:i4>5</vt:i4>
      </vt:variant>
      <vt:variant>
        <vt:lpwstr/>
      </vt:variant>
      <vt:variant>
        <vt:lpwstr>_Toc227761802</vt:lpwstr>
      </vt:variant>
      <vt:variant>
        <vt:i4>1245243</vt:i4>
      </vt:variant>
      <vt:variant>
        <vt:i4>44</vt:i4>
      </vt:variant>
      <vt:variant>
        <vt:i4>0</vt:i4>
      </vt:variant>
      <vt:variant>
        <vt:i4>5</vt:i4>
      </vt:variant>
      <vt:variant>
        <vt:lpwstr/>
      </vt:variant>
      <vt:variant>
        <vt:lpwstr>_Toc227761801</vt:lpwstr>
      </vt:variant>
      <vt:variant>
        <vt:i4>1245243</vt:i4>
      </vt:variant>
      <vt:variant>
        <vt:i4>38</vt:i4>
      </vt:variant>
      <vt:variant>
        <vt:i4>0</vt:i4>
      </vt:variant>
      <vt:variant>
        <vt:i4>5</vt:i4>
      </vt:variant>
      <vt:variant>
        <vt:lpwstr/>
      </vt:variant>
      <vt:variant>
        <vt:lpwstr>_Toc227761800</vt:lpwstr>
      </vt:variant>
      <vt:variant>
        <vt:i4>1703988</vt:i4>
      </vt:variant>
      <vt:variant>
        <vt:i4>32</vt:i4>
      </vt:variant>
      <vt:variant>
        <vt:i4>0</vt:i4>
      </vt:variant>
      <vt:variant>
        <vt:i4>5</vt:i4>
      </vt:variant>
      <vt:variant>
        <vt:lpwstr/>
      </vt:variant>
      <vt:variant>
        <vt:lpwstr>_Toc227761799</vt:lpwstr>
      </vt:variant>
      <vt:variant>
        <vt:i4>1703988</vt:i4>
      </vt:variant>
      <vt:variant>
        <vt:i4>26</vt:i4>
      </vt:variant>
      <vt:variant>
        <vt:i4>0</vt:i4>
      </vt:variant>
      <vt:variant>
        <vt:i4>5</vt:i4>
      </vt:variant>
      <vt:variant>
        <vt:lpwstr/>
      </vt:variant>
      <vt:variant>
        <vt:lpwstr>_Toc227761798</vt:lpwstr>
      </vt:variant>
      <vt:variant>
        <vt:i4>1703988</vt:i4>
      </vt:variant>
      <vt:variant>
        <vt:i4>20</vt:i4>
      </vt:variant>
      <vt:variant>
        <vt:i4>0</vt:i4>
      </vt:variant>
      <vt:variant>
        <vt:i4>5</vt:i4>
      </vt:variant>
      <vt:variant>
        <vt:lpwstr/>
      </vt:variant>
      <vt:variant>
        <vt:lpwstr>_Toc227761797</vt:lpwstr>
      </vt:variant>
      <vt:variant>
        <vt:i4>1703988</vt:i4>
      </vt:variant>
      <vt:variant>
        <vt:i4>14</vt:i4>
      </vt:variant>
      <vt:variant>
        <vt:i4>0</vt:i4>
      </vt:variant>
      <vt:variant>
        <vt:i4>5</vt:i4>
      </vt:variant>
      <vt:variant>
        <vt:lpwstr/>
      </vt:variant>
      <vt:variant>
        <vt:lpwstr>_Toc227761796</vt:lpwstr>
      </vt:variant>
      <vt:variant>
        <vt:i4>1703988</vt:i4>
      </vt:variant>
      <vt:variant>
        <vt:i4>8</vt:i4>
      </vt:variant>
      <vt:variant>
        <vt:i4>0</vt:i4>
      </vt:variant>
      <vt:variant>
        <vt:i4>5</vt:i4>
      </vt:variant>
      <vt:variant>
        <vt:lpwstr/>
      </vt:variant>
      <vt:variant>
        <vt:lpwstr>_Toc227761795</vt:lpwstr>
      </vt:variant>
      <vt:variant>
        <vt:i4>1703988</vt:i4>
      </vt:variant>
      <vt:variant>
        <vt:i4>2</vt:i4>
      </vt:variant>
      <vt:variant>
        <vt:i4>0</vt:i4>
      </vt:variant>
      <vt:variant>
        <vt:i4>5</vt:i4>
      </vt:variant>
      <vt:variant>
        <vt:lpwstr/>
      </vt:variant>
      <vt:variant>
        <vt:lpwstr>_Toc227761794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Seddon Claudia: H&amp;F</cp:lastModifiedBy>
  <cp:revision>70</cp:revision>
  <dcterms:created xsi:type="dcterms:W3CDTF">2026-09-07T08:59:00Z</dcterms:created>
  <dcterms:modified xsi:type="dcterms:W3CDTF">2026-09-07T11:37:00Z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0x010100B89A6DE5ED95FD4A89E64AE745B6B7E9</vt:lpwstr>
  </property>
</Properties>
</file>